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1C17" w14:textId="39076AB5" w:rsidR="004512B2" w:rsidRDefault="004512B2" w:rsidP="00B910B6">
      <w:pPr>
        <w:tabs>
          <w:tab w:val="left" w:pos="284"/>
        </w:tabs>
        <w:snapToGrid w:val="0"/>
        <w:spacing w:after="0"/>
        <w:jc w:val="both"/>
        <w:rPr>
          <w:sz w:val="20"/>
          <w:szCs w:val="20"/>
        </w:rPr>
      </w:pPr>
    </w:p>
    <w:tbl>
      <w:tblPr>
        <w:tblStyle w:val="Tablaconcuadrcula"/>
        <w:tblW w:w="10056" w:type="dxa"/>
        <w:tblLook w:val="04A0" w:firstRow="1" w:lastRow="0" w:firstColumn="1" w:lastColumn="0" w:noHBand="0" w:noVBand="1"/>
      </w:tblPr>
      <w:tblGrid>
        <w:gridCol w:w="5028"/>
        <w:gridCol w:w="5028"/>
      </w:tblGrid>
      <w:tr w:rsidR="001E2B30" w14:paraId="4E489E28" w14:textId="05B767F7" w:rsidTr="00AD5B53">
        <w:tc>
          <w:tcPr>
            <w:tcW w:w="5028" w:type="dxa"/>
            <w:shd w:val="clear" w:color="auto" w:fill="323E4F" w:themeFill="text2" w:themeFillShade="BF"/>
          </w:tcPr>
          <w:p w14:paraId="42D70787" w14:textId="60D07360" w:rsidR="001E2B30" w:rsidRPr="00AD5B53" w:rsidRDefault="001E2B30" w:rsidP="001E2B30">
            <w:pPr>
              <w:tabs>
                <w:tab w:val="left" w:pos="284"/>
              </w:tabs>
              <w:snapToGrid w:val="0"/>
              <w:jc w:val="center"/>
              <w:rPr>
                <w:b/>
                <w:bCs/>
                <w:color w:val="F2F2F2" w:themeColor="background1" w:themeShade="F2"/>
                <w:sz w:val="20"/>
                <w:szCs w:val="20"/>
              </w:rPr>
            </w:pPr>
            <w:r w:rsidRPr="00AD5B53">
              <w:rPr>
                <w:b/>
                <w:bCs/>
                <w:color w:val="F2F2F2" w:themeColor="background1" w:themeShade="F2"/>
                <w:sz w:val="20"/>
                <w:szCs w:val="20"/>
              </w:rPr>
              <w:t>Características del equipo</w:t>
            </w:r>
          </w:p>
        </w:tc>
        <w:tc>
          <w:tcPr>
            <w:tcW w:w="5028" w:type="dxa"/>
            <w:shd w:val="clear" w:color="auto" w:fill="323E4F" w:themeFill="text2" w:themeFillShade="BF"/>
          </w:tcPr>
          <w:p w14:paraId="681C1564" w14:textId="2DFF77F4" w:rsidR="001E2B30" w:rsidRPr="00AD5B53" w:rsidRDefault="001E2B30" w:rsidP="001E2B30">
            <w:pPr>
              <w:tabs>
                <w:tab w:val="left" w:pos="284"/>
              </w:tabs>
              <w:snapToGrid w:val="0"/>
              <w:jc w:val="center"/>
              <w:rPr>
                <w:b/>
                <w:bCs/>
                <w:color w:val="F2F2F2" w:themeColor="background1" w:themeShade="F2"/>
                <w:sz w:val="20"/>
                <w:szCs w:val="20"/>
              </w:rPr>
            </w:pPr>
            <w:r w:rsidRPr="00AD5B53">
              <w:rPr>
                <w:b/>
                <w:bCs/>
                <w:color w:val="F2F2F2" w:themeColor="background1" w:themeShade="F2"/>
                <w:sz w:val="20"/>
                <w:szCs w:val="20"/>
              </w:rPr>
              <w:t>Cantidad</w:t>
            </w:r>
          </w:p>
        </w:tc>
      </w:tr>
      <w:tr w:rsidR="001E2B30" w14:paraId="2DEBB65A" w14:textId="186D930B" w:rsidTr="001B3F4E">
        <w:trPr>
          <w:trHeight w:val="1072"/>
        </w:trPr>
        <w:tc>
          <w:tcPr>
            <w:tcW w:w="5028" w:type="dxa"/>
          </w:tcPr>
          <w:p w14:paraId="362E6BD6" w14:textId="386DEE62" w:rsidR="001E2B30" w:rsidRPr="004512B2" w:rsidRDefault="001E2B30" w:rsidP="001E2B30">
            <w:pPr>
              <w:tabs>
                <w:tab w:val="left" w:pos="284"/>
              </w:tabs>
              <w:snapToGrid w:val="0"/>
              <w:jc w:val="center"/>
              <w:rPr>
                <w:b/>
                <w:bCs/>
                <w:sz w:val="20"/>
                <w:szCs w:val="20"/>
              </w:rPr>
            </w:pPr>
            <w:r w:rsidRPr="004512B2">
              <w:rPr>
                <w:b/>
                <w:bCs/>
                <w:sz w:val="20"/>
                <w:szCs w:val="20"/>
              </w:rPr>
              <w:t>TRANSFORMADOR TRIFÁSICO "ONAN" TIPO SUBESTACIÓN 5OO KVA TENSIÓN 23 000 - 220/127 V, SECCIÓN DE ACOMETIDA, CUCHILLAS SECCIONADORAS Y APARTARRAYOS.</w:t>
            </w:r>
          </w:p>
        </w:tc>
        <w:tc>
          <w:tcPr>
            <w:tcW w:w="5028" w:type="dxa"/>
          </w:tcPr>
          <w:p w14:paraId="3EAECE2F" w14:textId="52AB97F3" w:rsidR="001E2B30" w:rsidRPr="004512B2" w:rsidRDefault="001E2B30" w:rsidP="001E2B30">
            <w:pPr>
              <w:tabs>
                <w:tab w:val="left" w:pos="284"/>
              </w:tabs>
              <w:snapToGrid w:val="0"/>
              <w:jc w:val="center"/>
              <w:rPr>
                <w:b/>
                <w:bCs/>
                <w:sz w:val="20"/>
                <w:szCs w:val="20"/>
              </w:rPr>
            </w:pPr>
            <w:r>
              <w:rPr>
                <w:b/>
                <w:bCs/>
                <w:sz w:val="20"/>
                <w:szCs w:val="20"/>
              </w:rPr>
              <w:t>1</w:t>
            </w:r>
          </w:p>
        </w:tc>
      </w:tr>
      <w:tr w:rsidR="001B3F4E" w14:paraId="0F22B8F8" w14:textId="77777777" w:rsidTr="001B3F4E">
        <w:trPr>
          <w:trHeight w:val="1258"/>
        </w:trPr>
        <w:tc>
          <w:tcPr>
            <w:tcW w:w="5028" w:type="dxa"/>
          </w:tcPr>
          <w:p w14:paraId="21B4AA9E" w14:textId="2F42528C" w:rsidR="001B3F4E" w:rsidRPr="004512B2" w:rsidRDefault="001B3F4E" w:rsidP="001E2B30">
            <w:pPr>
              <w:tabs>
                <w:tab w:val="left" w:pos="284"/>
              </w:tabs>
              <w:snapToGrid w:val="0"/>
              <w:jc w:val="center"/>
              <w:rPr>
                <w:b/>
                <w:bCs/>
                <w:sz w:val="20"/>
                <w:szCs w:val="20"/>
              </w:rPr>
            </w:pPr>
            <w:r w:rsidRPr="001B3F4E">
              <w:rPr>
                <w:b/>
                <w:bCs/>
                <w:sz w:val="20"/>
                <w:szCs w:val="20"/>
              </w:rPr>
              <w:t>PLANTA DE EMERGENCIA DE 500 KW CON MOTOR DE DIESEL CUMMINS Y GENERADOR MCA. GENERACIÓN Y POTENCIA</w:t>
            </w:r>
          </w:p>
        </w:tc>
        <w:tc>
          <w:tcPr>
            <w:tcW w:w="5028" w:type="dxa"/>
          </w:tcPr>
          <w:p w14:paraId="2B0237C8" w14:textId="1E659F86" w:rsidR="001B3F4E" w:rsidRDefault="001B3F4E" w:rsidP="001E2B30">
            <w:pPr>
              <w:tabs>
                <w:tab w:val="left" w:pos="284"/>
              </w:tabs>
              <w:snapToGrid w:val="0"/>
              <w:jc w:val="center"/>
              <w:rPr>
                <w:b/>
                <w:bCs/>
                <w:sz w:val="20"/>
                <w:szCs w:val="20"/>
              </w:rPr>
            </w:pPr>
            <w:r>
              <w:rPr>
                <w:b/>
                <w:bCs/>
                <w:sz w:val="20"/>
                <w:szCs w:val="20"/>
              </w:rPr>
              <w:t>1</w:t>
            </w:r>
          </w:p>
        </w:tc>
      </w:tr>
    </w:tbl>
    <w:p w14:paraId="6C957F1D" w14:textId="77777777" w:rsidR="004512B2" w:rsidRPr="00B910B6" w:rsidRDefault="004512B2" w:rsidP="00B910B6">
      <w:pPr>
        <w:tabs>
          <w:tab w:val="left" w:pos="284"/>
        </w:tabs>
        <w:snapToGrid w:val="0"/>
        <w:spacing w:after="0"/>
        <w:jc w:val="both"/>
        <w:rPr>
          <w:sz w:val="20"/>
          <w:szCs w:val="20"/>
        </w:rPr>
      </w:pPr>
    </w:p>
    <w:p w14:paraId="066866BA" w14:textId="751537BE" w:rsidR="006C3246" w:rsidRDefault="006C3246" w:rsidP="00B910B6">
      <w:pPr>
        <w:spacing w:after="0"/>
        <w:jc w:val="center"/>
        <w:rPr>
          <w:b/>
          <w:sz w:val="20"/>
          <w:szCs w:val="20"/>
        </w:rPr>
      </w:pPr>
    </w:p>
    <w:p w14:paraId="4A08756D" w14:textId="418DA4C0" w:rsidR="00F8613B" w:rsidRDefault="00F8613B" w:rsidP="00B910B6">
      <w:pPr>
        <w:spacing w:after="0"/>
        <w:jc w:val="center"/>
        <w:rPr>
          <w:b/>
          <w:sz w:val="20"/>
          <w:szCs w:val="20"/>
        </w:rPr>
      </w:pPr>
    </w:p>
    <w:p w14:paraId="71F61E88" w14:textId="09FE3DDF" w:rsidR="00F8613B" w:rsidRDefault="00F8613B" w:rsidP="00B910B6">
      <w:pPr>
        <w:spacing w:after="0"/>
        <w:jc w:val="center"/>
        <w:rPr>
          <w:b/>
          <w:sz w:val="20"/>
          <w:szCs w:val="20"/>
        </w:rPr>
      </w:pPr>
    </w:p>
    <w:p w14:paraId="79984E3A" w14:textId="77777777" w:rsidR="00F8613B" w:rsidRDefault="00F8613B" w:rsidP="00B910B6">
      <w:pPr>
        <w:spacing w:after="0"/>
        <w:jc w:val="center"/>
        <w:rPr>
          <w:b/>
          <w:sz w:val="20"/>
          <w:szCs w:val="20"/>
        </w:rPr>
      </w:pPr>
    </w:p>
    <w:p w14:paraId="7B165954" w14:textId="77777777" w:rsidR="006C3246" w:rsidRDefault="006C3246" w:rsidP="00B910B6">
      <w:pPr>
        <w:spacing w:after="80"/>
        <w:jc w:val="both"/>
        <w:rPr>
          <w:b/>
          <w:sz w:val="20"/>
          <w:szCs w:val="20"/>
          <w:u w:val="single"/>
        </w:rPr>
      </w:pPr>
    </w:p>
    <w:p w14:paraId="6A1189E2" w14:textId="042CC415" w:rsidR="007B6823" w:rsidRPr="00B910B6" w:rsidRDefault="007B6823" w:rsidP="00B910B6">
      <w:pPr>
        <w:spacing w:after="80"/>
        <w:jc w:val="both"/>
        <w:rPr>
          <w:b/>
          <w:sz w:val="20"/>
          <w:szCs w:val="20"/>
          <w:u w:val="single"/>
        </w:rPr>
      </w:pPr>
      <w:r w:rsidRPr="00B910B6">
        <w:rPr>
          <w:b/>
          <w:sz w:val="20"/>
          <w:szCs w:val="20"/>
          <w:u w:val="single"/>
        </w:rPr>
        <w:t>MANTENIMIENTO PREVENTIVO</w:t>
      </w:r>
    </w:p>
    <w:p w14:paraId="10EF841C" w14:textId="7196D0DD" w:rsidR="00A7264F" w:rsidRDefault="004E53A8" w:rsidP="00B910B6">
      <w:pPr>
        <w:tabs>
          <w:tab w:val="left" w:pos="284"/>
        </w:tabs>
        <w:spacing w:after="0"/>
        <w:jc w:val="both"/>
        <w:rPr>
          <w:sz w:val="20"/>
          <w:szCs w:val="20"/>
        </w:rPr>
      </w:pPr>
      <w:r w:rsidRPr="00B910B6">
        <w:rPr>
          <w:sz w:val="20"/>
          <w:szCs w:val="20"/>
        </w:rPr>
        <w:t>El servicio de mantenimiento preventivo a la subestaci</w:t>
      </w:r>
      <w:r w:rsidR="00302F98">
        <w:rPr>
          <w:sz w:val="20"/>
          <w:szCs w:val="20"/>
        </w:rPr>
        <w:t>ó</w:t>
      </w:r>
      <w:r w:rsidRPr="00B910B6">
        <w:rPr>
          <w:sz w:val="20"/>
          <w:szCs w:val="20"/>
        </w:rPr>
        <w:t>n eléctrica de</w:t>
      </w:r>
      <w:r w:rsidR="00D62363">
        <w:rPr>
          <w:sz w:val="20"/>
          <w:szCs w:val="20"/>
        </w:rPr>
        <w:t>l</w:t>
      </w:r>
      <w:r w:rsidRPr="00B910B6">
        <w:rPr>
          <w:sz w:val="20"/>
          <w:szCs w:val="20"/>
        </w:rPr>
        <w:t xml:space="preserve"> inmueble </w:t>
      </w:r>
      <w:r w:rsidR="007A37CA">
        <w:rPr>
          <w:sz w:val="20"/>
          <w:szCs w:val="20"/>
        </w:rPr>
        <w:t>de Sala Regional Toluca,</w:t>
      </w:r>
      <w:r w:rsidR="00676AAC" w:rsidRPr="00B910B6">
        <w:rPr>
          <w:sz w:val="20"/>
          <w:szCs w:val="20"/>
        </w:rPr>
        <w:t xml:space="preserve"> </w:t>
      </w:r>
      <w:r w:rsidRPr="00B910B6">
        <w:rPr>
          <w:sz w:val="20"/>
          <w:szCs w:val="20"/>
        </w:rPr>
        <w:t xml:space="preserve">consistirá entre otros, en </w:t>
      </w:r>
      <w:r w:rsidR="00676AAC" w:rsidRPr="00B910B6">
        <w:rPr>
          <w:sz w:val="20"/>
          <w:szCs w:val="20"/>
        </w:rPr>
        <w:t xml:space="preserve">brindar el </w:t>
      </w:r>
      <w:r w:rsidRPr="00B910B6">
        <w:rPr>
          <w:sz w:val="20"/>
          <w:szCs w:val="20"/>
        </w:rPr>
        <w:t>mantenimiento a los equipos instalados cuando presenten fallas derivadas de su uso normal, inspección de interruptores, rea</w:t>
      </w:r>
      <w:r w:rsidR="00676AAC" w:rsidRPr="00B910B6">
        <w:rPr>
          <w:sz w:val="20"/>
          <w:szCs w:val="20"/>
        </w:rPr>
        <w:t>juste</w:t>
      </w:r>
      <w:r w:rsidRPr="00B910B6">
        <w:rPr>
          <w:sz w:val="20"/>
          <w:szCs w:val="20"/>
        </w:rPr>
        <w:t xml:space="preserve"> de conexiones con uso de torqu</w:t>
      </w:r>
      <w:r w:rsidR="00676AAC" w:rsidRPr="00B910B6">
        <w:rPr>
          <w:sz w:val="20"/>
          <w:szCs w:val="20"/>
        </w:rPr>
        <w:t>í</w:t>
      </w:r>
      <w:r w:rsidRPr="00B910B6">
        <w:rPr>
          <w:sz w:val="20"/>
          <w:szCs w:val="20"/>
        </w:rPr>
        <w:t>metro, limpieza, lubricación, prueba</w:t>
      </w:r>
      <w:r w:rsidR="00676AAC" w:rsidRPr="00B910B6">
        <w:rPr>
          <w:sz w:val="20"/>
          <w:szCs w:val="20"/>
        </w:rPr>
        <w:t>s</w:t>
      </w:r>
      <w:r w:rsidRPr="00B910B6">
        <w:rPr>
          <w:sz w:val="20"/>
          <w:szCs w:val="20"/>
        </w:rPr>
        <w:t xml:space="preserve"> de operación, pruebas eléctricas, pruebas mecánicas, gabinetes y tableros</w:t>
      </w:r>
      <w:r w:rsidR="00676AAC" w:rsidRPr="00B910B6">
        <w:rPr>
          <w:sz w:val="20"/>
          <w:szCs w:val="20"/>
        </w:rPr>
        <w:t>;</w:t>
      </w:r>
      <w:r w:rsidRPr="00B910B6">
        <w:rPr>
          <w:sz w:val="20"/>
          <w:szCs w:val="20"/>
        </w:rPr>
        <w:t xml:space="preserve"> por lo </w:t>
      </w:r>
      <w:r w:rsidR="00E30472" w:rsidRPr="00B910B6">
        <w:rPr>
          <w:sz w:val="20"/>
          <w:szCs w:val="20"/>
        </w:rPr>
        <w:t xml:space="preserve">que </w:t>
      </w:r>
      <w:r w:rsidRPr="00B910B6">
        <w:rPr>
          <w:sz w:val="20"/>
          <w:szCs w:val="20"/>
        </w:rPr>
        <w:t>al transformador</w:t>
      </w:r>
      <w:r w:rsidR="00676AAC" w:rsidRPr="00B910B6">
        <w:rPr>
          <w:sz w:val="20"/>
          <w:szCs w:val="20"/>
        </w:rPr>
        <w:t xml:space="preserve"> se refiere:</w:t>
      </w:r>
      <w:r w:rsidRPr="00B910B6">
        <w:rPr>
          <w:sz w:val="20"/>
          <w:szCs w:val="20"/>
        </w:rPr>
        <w:t xml:space="preserve"> limpieza e inspección de tanque, radiadores, boquillas, medidores de nivel y temperatura de aceite,</w:t>
      </w:r>
      <w:r w:rsidR="00D62363">
        <w:rPr>
          <w:sz w:val="20"/>
          <w:szCs w:val="20"/>
        </w:rPr>
        <w:t xml:space="preserve"> pruebas </w:t>
      </w:r>
      <w:r w:rsidR="00412C1C">
        <w:rPr>
          <w:sz w:val="20"/>
          <w:szCs w:val="20"/>
        </w:rPr>
        <w:t>físico</w:t>
      </w:r>
      <w:r w:rsidR="00D62363">
        <w:rPr>
          <w:sz w:val="20"/>
          <w:szCs w:val="20"/>
        </w:rPr>
        <w:t xml:space="preserve"> químicas,</w:t>
      </w:r>
      <w:r w:rsidRPr="00B910B6">
        <w:rPr>
          <w:sz w:val="20"/>
          <w:szCs w:val="20"/>
        </w:rPr>
        <w:t xml:space="preserve"> rea</w:t>
      </w:r>
      <w:r w:rsidR="00676AAC" w:rsidRPr="00B910B6">
        <w:rPr>
          <w:sz w:val="20"/>
          <w:szCs w:val="20"/>
        </w:rPr>
        <w:t>juste</w:t>
      </w:r>
      <w:r w:rsidRPr="00B910B6">
        <w:rPr>
          <w:sz w:val="20"/>
          <w:szCs w:val="20"/>
        </w:rPr>
        <w:t xml:space="preserve"> de conexiones, pruebas eléctricas</w:t>
      </w:r>
      <w:r w:rsidR="00676AAC" w:rsidRPr="00B910B6">
        <w:rPr>
          <w:sz w:val="20"/>
          <w:szCs w:val="20"/>
        </w:rPr>
        <w:t>;</w:t>
      </w:r>
      <w:r w:rsidRPr="00B910B6">
        <w:rPr>
          <w:sz w:val="20"/>
          <w:szCs w:val="20"/>
        </w:rPr>
        <w:t xml:space="preserve"> en relación al aceite</w:t>
      </w:r>
      <w:r w:rsidR="00676AAC" w:rsidRPr="00B910B6">
        <w:rPr>
          <w:sz w:val="20"/>
          <w:szCs w:val="20"/>
        </w:rPr>
        <w:t>:</w:t>
      </w:r>
      <w:r w:rsidRPr="00B910B6">
        <w:rPr>
          <w:sz w:val="20"/>
          <w:szCs w:val="20"/>
        </w:rPr>
        <w:t xml:space="preserve"> rigidez dieléctrica, factor de potencia, tensión interfacial y</w:t>
      </w:r>
      <w:r w:rsidR="00676AAC" w:rsidRPr="00B910B6">
        <w:rPr>
          <w:sz w:val="20"/>
          <w:szCs w:val="20"/>
        </w:rPr>
        <w:t>;</w:t>
      </w:r>
      <w:r w:rsidRPr="00B910B6">
        <w:rPr>
          <w:sz w:val="20"/>
          <w:szCs w:val="20"/>
        </w:rPr>
        <w:t xml:space="preserve"> en general</w:t>
      </w:r>
      <w:r w:rsidR="00E30472" w:rsidRPr="00B910B6">
        <w:rPr>
          <w:sz w:val="20"/>
          <w:szCs w:val="20"/>
        </w:rPr>
        <w:t xml:space="preserve"> todo trabajo menor que se requiera para</w:t>
      </w:r>
      <w:r w:rsidRPr="00B910B6">
        <w:rPr>
          <w:sz w:val="20"/>
          <w:szCs w:val="20"/>
        </w:rPr>
        <w:t xml:space="preserve"> reparar todas aquellas fallas cuyo origen se de en la operación rutinaria de los sistemas, filtros de armónicas y todo </w:t>
      </w:r>
      <w:r w:rsidR="00E30472" w:rsidRPr="00B910B6">
        <w:rPr>
          <w:sz w:val="20"/>
          <w:szCs w:val="20"/>
        </w:rPr>
        <w:t xml:space="preserve">lo necesario para la correcta realización de los trabajos de mantenimiento solicitados, se indiquen o no en forma explícita en los alcances referentes al </w:t>
      </w:r>
      <w:r w:rsidR="00406710" w:rsidRPr="00B910B6">
        <w:rPr>
          <w:b/>
          <w:sz w:val="20"/>
          <w:szCs w:val="20"/>
        </w:rPr>
        <w:t xml:space="preserve">ANEXO </w:t>
      </w:r>
      <w:r w:rsidR="00E30472" w:rsidRPr="00B910B6">
        <w:rPr>
          <w:b/>
          <w:sz w:val="20"/>
          <w:szCs w:val="20"/>
        </w:rPr>
        <w:t>2</w:t>
      </w:r>
      <w:r w:rsidR="00E30472" w:rsidRPr="00B910B6">
        <w:rPr>
          <w:sz w:val="20"/>
          <w:szCs w:val="20"/>
        </w:rPr>
        <w:t>.</w:t>
      </w:r>
    </w:p>
    <w:p w14:paraId="3F6B4092" w14:textId="77777777" w:rsidR="003342DA" w:rsidRPr="00B910B6" w:rsidRDefault="003342DA" w:rsidP="00B910B6">
      <w:pPr>
        <w:tabs>
          <w:tab w:val="left" w:pos="284"/>
        </w:tabs>
        <w:spacing w:after="0"/>
        <w:jc w:val="both"/>
        <w:rPr>
          <w:sz w:val="20"/>
          <w:szCs w:val="20"/>
        </w:rPr>
      </w:pPr>
    </w:p>
    <w:p w14:paraId="48AD0C45" w14:textId="59A830FE" w:rsidR="006C3246" w:rsidRDefault="004E53A8" w:rsidP="006C75A0">
      <w:pPr>
        <w:tabs>
          <w:tab w:val="left" w:pos="284"/>
        </w:tabs>
        <w:spacing w:after="0"/>
        <w:jc w:val="both"/>
        <w:rPr>
          <w:sz w:val="20"/>
          <w:szCs w:val="20"/>
        </w:rPr>
      </w:pPr>
      <w:r w:rsidRPr="00B910B6">
        <w:rPr>
          <w:sz w:val="20"/>
          <w:szCs w:val="20"/>
        </w:rPr>
        <w:t>El costo de los servicios contratados incluye</w:t>
      </w:r>
      <w:r w:rsidR="00B57B65" w:rsidRPr="00B910B6">
        <w:rPr>
          <w:sz w:val="20"/>
          <w:szCs w:val="20"/>
        </w:rPr>
        <w:t>:</w:t>
      </w:r>
      <w:r w:rsidRPr="00B910B6">
        <w:rPr>
          <w:sz w:val="20"/>
          <w:szCs w:val="20"/>
        </w:rPr>
        <w:t xml:space="preserve"> mano de obra</w:t>
      </w:r>
      <w:r w:rsidR="00B57B65" w:rsidRPr="00B910B6">
        <w:rPr>
          <w:sz w:val="20"/>
          <w:szCs w:val="20"/>
        </w:rPr>
        <w:t xml:space="preserve">, </w:t>
      </w:r>
      <w:r w:rsidRPr="00B910B6">
        <w:rPr>
          <w:sz w:val="20"/>
          <w:szCs w:val="20"/>
        </w:rPr>
        <w:t>refacciones menores y</w:t>
      </w:r>
      <w:r w:rsidR="00B57B65" w:rsidRPr="00B910B6">
        <w:rPr>
          <w:sz w:val="20"/>
          <w:szCs w:val="20"/>
        </w:rPr>
        <w:t>,</w:t>
      </w:r>
      <w:r w:rsidRPr="00B910B6">
        <w:rPr>
          <w:sz w:val="20"/>
          <w:szCs w:val="20"/>
        </w:rPr>
        <w:t xml:space="preserve"> consumibles destinad</w:t>
      </w:r>
      <w:r w:rsidR="00B57B65" w:rsidRPr="00B910B6">
        <w:rPr>
          <w:sz w:val="20"/>
          <w:szCs w:val="20"/>
        </w:rPr>
        <w:t>o</w:t>
      </w:r>
      <w:r w:rsidRPr="00B910B6">
        <w:rPr>
          <w:sz w:val="20"/>
          <w:szCs w:val="20"/>
        </w:rPr>
        <w:t>s al mantenimiento preventivo</w:t>
      </w:r>
      <w:r w:rsidR="00D05E60" w:rsidRPr="00B910B6">
        <w:rPr>
          <w:sz w:val="20"/>
          <w:szCs w:val="20"/>
        </w:rPr>
        <w:t xml:space="preserve"> y deberá prever la mano de obra por servicios extraordinarios o correctivos</w:t>
      </w:r>
      <w:r w:rsidR="00412C1C">
        <w:rPr>
          <w:sz w:val="20"/>
          <w:szCs w:val="20"/>
        </w:rPr>
        <w:t>.</w:t>
      </w:r>
      <w:r w:rsidR="00D05E60" w:rsidRPr="00B910B6">
        <w:rPr>
          <w:sz w:val="20"/>
          <w:szCs w:val="20"/>
        </w:rPr>
        <w:t xml:space="preserve"> </w:t>
      </w:r>
      <w:r w:rsidR="00412C1C">
        <w:rPr>
          <w:sz w:val="20"/>
          <w:szCs w:val="20"/>
        </w:rPr>
        <w:t>C</w:t>
      </w:r>
      <w:r w:rsidR="00D05E60" w:rsidRPr="00B910B6">
        <w:rPr>
          <w:sz w:val="20"/>
          <w:szCs w:val="20"/>
        </w:rPr>
        <w:t>ualquier refacción o accesorio será cotizado por separado.</w:t>
      </w:r>
    </w:p>
    <w:p w14:paraId="4A1A1D4D" w14:textId="77777777" w:rsidR="006C75A0" w:rsidRDefault="006C75A0" w:rsidP="006C75A0">
      <w:pPr>
        <w:tabs>
          <w:tab w:val="left" w:pos="284"/>
        </w:tabs>
        <w:spacing w:after="0"/>
        <w:jc w:val="both"/>
        <w:rPr>
          <w:b/>
          <w:sz w:val="20"/>
          <w:szCs w:val="20"/>
          <w:u w:val="single"/>
        </w:rPr>
      </w:pPr>
    </w:p>
    <w:p w14:paraId="3DD84450" w14:textId="32FA5574" w:rsidR="00B57B65" w:rsidRPr="00B910B6" w:rsidRDefault="00B57B65" w:rsidP="00B910B6">
      <w:pPr>
        <w:spacing w:after="80"/>
        <w:jc w:val="both"/>
        <w:rPr>
          <w:b/>
          <w:sz w:val="20"/>
          <w:szCs w:val="20"/>
          <w:u w:val="single"/>
        </w:rPr>
      </w:pPr>
      <w:r w:rsidRPr="00B910B6">
        <w:rPr>
          <w:b/>
          <w:sz w:val="20"/>
          <w:szCs w:val="20"/>
          <w:u w:val="single"/>
        </w:rPr>
        <w:t>MANTENIMIENTO CORRECTIVO</w:t>
      </w:r>
    </w:p>
    <w:p w14:paraId="4108FFFD" w14:textId="7E49EC86" w:rsidR="004E53A8" w:rsidRDefault="00B57B65" w:rsidP="00B910B6">
      <w:pPr>
        <w:tabs>
          <w:tab w:val="left" w:pos="284"/>
        </w:tabs>
        <w:spacing w:after="0"/>
        <w:jc w:val="both"/>
        <w:rPr>
          <w:sz w:val="20"/>
          <w:szCs w:val="20"/>
        </w:rPr>
      </w:pPr>
      <w:r w:rsidRPr="00B910B6">
        <w:rPr>
          <w:sz w:val="20"/>
          <w:szCs w:val="20"/>
        </w:rPr>
        <w:t>En el caso del mantenimiento correctivo, el servicio debe incluir el costo de las refacciones que se determinen como necesarias para realizar el mantenimiento, éstas se deberán anotar en primera instancia en la bitácora del servicio y una vez justificada su necesidad, se facturarán y pagarán</w:t>
      </w:r>
      <w:r w:rsidR="00A43613" w:rsidRPr="00B910B6">
        <w:rPr>
          <w:sz w:val="20"/>
          <w:szCs w:val="20"/>
        </w:rPr>
        <w:t xml:space="preserve"> de manera independiente, </w:t>
      </w:r>
      <w:r w:rsidRPr="00B910B6">
        <w:rPr>
          <w:sz w:val="20"/>
          <w:szCs w:val="20"/>
        </w:rPr>
        <w:t xml:space="preserve">previa autorización de la </w:t>
      </w:r>
      <w:r w:rsidR="00775E67">
        <w:rPr>
          <w:sz w:val="20"/>
          <w:szCs w:val="20"/>
        </w:rPr>
        <w:t xml:space="preserve">Delegación </w:t>
      </w:r>
      <w:r w:rsidR="00101DB8">
        <w:rPr>
          <w:sz w:val="20"/>
          <w:szCs w:val="20"/>
        </w:rPr>
        <w:t>Administrativa</w:t>
      </w:r>
      <w:r w:rsidRPr="00B910B6">
        <w:rPr>
          <w:sz w:val="20"/>
          <w:szCs w:val="20"/>
        </w:rPr>
        <w:t xml:space="preserve"> y de la existencia de la suficiencia presupuestal correspondiente.</w:t>
      </w:r>
    </w:p>
    <w:p w14:paraId="2B145F55" w14:textId="77777777" w:rsidR="006C3246" w:rsidRPr="00B910B6" w:rsidRDefault="006C3246" w:rsidP="00B910B6">
      <w:pPr>
        <w:tabs>
          <w:tab w:val="left" w:pos="284"/>
        </w:tabs>
        <w:spacing w:after="0"/>
        <w:jc w:val="both"/>
        <w:rPr>
          <w:sz w:val="20"/>
          <w:szCs w:val="20"/>
        </w:rPr>
      </w:pPr>
    </w:p>
    <w:p w14:paraId="1F5ED2A4" w14:textId="77777777" w:rsidR="006C75A0" w:rsidRDefault="006C75A0" w:rsidP="006C75A0">
      <w:pPr>
        <w:tabs>
          <w:tab w:val="left" w:pos="284"/>
        </w:tabs>
        <w:spacing w:after="0"/>
        <w:jc w:val="both"/>
        <w:rPr>
          <w:b/>
          <w:sz w:val="20"/>
          <w:szCs w:val="20"/>
          <w:u w:val="single"/>
        </w:rPr>
      </w:pPr>
    </w:p>
    <w:p w14:paraId="0B49E0E6" w14:textId="77777777" w:rsidR="006C3246" w:rsidRPr="00B910B6" w:rsidRDefault="006C3246" w:rsidP="00B910B6">
      <w:pPr>
        <w:tabs>
          <w:tab w:val="left" w:pos="284"/>
        </w:tabs>
        <w:spacing w:after="0"/>
        <w:jc w:val="both"/>
        <w:rPr>
          <w:sz w:val="20"/>
          <w:szCs w:val="20"/>
        </w:rPr>
      </w:pPr>
    </w:p>
    <w:p w14:paraId="6A1189FC" w14:textId="43A8E18E" w:rsidR="007B6823" w:rsidRPr="00B910B6" w:rsidRDefault="007B6823" w:rsidP="00B910B6">
      <w:pPr>
        <w:spacing w:after="80"/>
        <w:jc w:val="both"/>
        <w:rPr>
          <w:b/>
          <w:sz w:val="20"/>
          <w:szCs w:val="20"/>
          <w:u w:val="single"/>
        </w:rPr>
      </w:pPr>
      <w:r w:rsidRPr="00B910B6">
        <w:rPr>
          <w:b/>
          <w:sz w:val="20"/>
          <w:szCs w:val="20"/>
          <w:u w:val="single"/>
        </w:rPr>
        <w:t>LLAMADAS DE EMERGENCIA</w:t>
      </w:r>
    </w:p>
    <w:p w14:paraId="6A1189FD" w14:textId="3144AE1F" w:rsidR="006F4953" w:rsidRDefault="00D62285" w:rsidP="00B910B6">
      <w:pPr>
        <w:tabs>
          <w:tab w:val="left" w:pos="284"/>
        </w:tabs>
        <w:spacing w:after="0"/>
        <w:jc w:val="both"/>
        <w:rPr>
          <w:sz w:val="20"/>
          <w:szCs w:val="20"/>
        </w:rPr>
      </w:pPr>
      <w:r w:rsidRPr="00B910B6">
        <w:rPr>
          <w:b/>
          <w:sz w:val="20"/>
          <w:szCs w:val="20"/>
        </w:rPr>
        <w:t>“El Prestador”</w:t>
      </w:r>
      <w:r w:rsidR="006F4953" w:rsidRPr="00B910B6">
        <w:rPr>
          <w:sz w:val="20"/>
          <w:szCs w:val="20"/>
        </w:rPr>
        <w:t xml:space="preserve"> se obliga a atender las llamadas de emergencia en un tiempo de respuesta máximo de </w:t>
      </w:r>
      <w:r w:rsidR="00BB6831" w:rsidRPr="00B910B6">
        <w:rPr>
          <w:sz w:val="20"/>
          <w:szCs w:val="20"/>
        </w:rPr>
        <w:t>2</w:t>
      </w:r>
      <w:r w:rsidR="006F4953" w:rsidRPr="00B910B6">
        <w:rPr>
          <w:sz w:val="20"/>
          <w:szCs w:val="20"/>
        </w:rPr>
        <w:t xml:space="preserve"> horas a partir de la comunicación con </w:t>
      </w:r>
      <w:r w:rsidRPr="00B910B6">
        <w:rPr>
          <w:b/>
          <w:sz w:val="20"/>
          <w:szCs w:val="20"/>
        </w:rPr>
        <w:t>“El Tribunal”</w:t>
      </w:r>
      <w:r w:rsidR="006F4953" w:rsidRPr="00B910B6">
        <w:rPr>
          <w:sz w:val="20"/>
          <w:szCs w:val="20"/>
        </w:rPr>
        <w:t xml:space="preserve">, por lo que deberá haber una o más personas con disponibilidad las 24 horas del día, sin cargo extra para </w:t>
      </w:r>
      <w:r w:rsidRPr="00B910B6">
        <w:rPr>
          <w:b/>
          <w:sz w:val="20"/>
          <w:szCs w:val="20"/>
        </w:rPr>
        <w:t>“El Tribunal”</w:t>
      </w:r>
      <w:r w:rsidR="006F4953" w:rsidRPr="00B910B6">
        <w:rPr>
          <w:sz w:val="20"/>
          <w:szCs w:val="20"/>
        </w:rPr>
        <w:t xml:space="preserve">; en caso de ser necesario sustituir partes dañadas, </w:t>
      </w:r>
      <w:r w:rsidRPr="00B910B6">
        <w:rPr>
          <w:b/>
          <w:sz w:val="20"/>
          <w:szCs w:val="20"/>
        </w:rPr>
        <w:t>“El Prestador”</w:t>
      </w:r>
      <w:r w:rsidR="006F4953" w:rsidRPr="00B910B6">
        <w:rPr>
          <w:sz w:val="20"/>
          <w:szCs w:val="20"/>
        </w:rPr>
        <w:t xml:space="preserve"> procederá de inmediato a levantar un reporte en la bitácora justificando su necesidad y deberá presentar el presupuesto para autorización de la Dirección de Mantenimiento, de igual manera, una vez realizada la reparación deberá asentarlo en la bitácora.</w:t>
      </w:r>
    </w:p>
    <w:p w14:paraId="32D8993B" w14:textId="77777777" w:rsidR="006C3246" w:rsidRPr="00B910B6" w:rsidRDefault="006C3246" w:rsidP="00B910B6">
      <w:pPr>
        <w:tabs>
          <w:tab w:val="left" w:pos="284"/>
        </w:tabs>
        <w:spacing w:after="0"/>
        <w:jc w:val="both"/>
        <w:rPr>
          <w:sz w:val="20"/>
          <w:szCs w:val="20"/>
        </w:rPr>
      </w:pPr>
    </w:p>
    <w:p w14:paraId="6A1189FF" w14:textId="3A7B283A" w:rsidR="006F4953" w:rsidRDefault="006F4953" w:rsidP="00B910B6">
      <w:pPr>
        <w:tabs>
          <w:tab w:val="left" w:pos="284"/>
        </w:tabs>
        <w:spacing w:after="0"/>
        <w:jc w:val="both"/>
        <w:rPr>
          <w:sz w:val="20"/>
          <w:szCs w:val="20"/>
        </w:rPr>
      </w:pPr>
      <w:r w:rsidRPr="00B910B6">
        <w:rPr>
          <w:sz w:val="20"/>
          <w:szCs w:val="20"/>
        </w:rPr>
        <w:lastRenderedPageBreak/>
        <w:t xml:space="preserve">Aquellos trabajos o refacciones adicionales, que no hayan sido incorporados en bitácora y notificados previamente a la Dirección de Mantenimiento, no podrán ser cobrados por </w:t>
      </w:r>
      <w:r w:rsidR="00D62285" w:rsidRPr="00B910B6">
        <w:rPr>
          <w:b/>
          <w:sz w:val="20"/>
          <w:szCs w:val="20"/>
        </w:rPr>
        <w:t>“El Prestador”</w:t>
      </w:r>
      <w:r w:rsidRPr="00B910B6">
        <w:rPr>
          <w:sz w:val="20"/>
          <w:szCs w:val="20"/>
        </w:rPr>
        <w:t>.</w:t>
      </w:r>
    </w:p>
    <w:p w14:paraId="21C310F7" w14:textId="77777777" w:rsidR="006C3246" w:rsidRPr="00B910B6" w:rsidRDefault="006C3246" w:rsidP="00B910B6">
      <w:pPr>
        <w:tabs>
          <w:tab w:val="left" w:pos="284"/>
        </w:tabs>
        <w:spacing w:after="0"/>
        <w:jc w:val="both"/>
        <w:rPr>
          <w:sz w:val="20"/>
          <w:szCs w:val="20"/>
        </w:rPr>
      </w:pPr>
    </w:p>
    <w:p w14:paraId="52A4A9A8" w14:textId="760A91CE" w:rsidR="006C3246" w:rsidRDefault="006F4953" w:rsidP="00382E4B">
      <w:pPr>
        <w:tabs>
          <w:tab w:val="left" w:pos="284"/>
        </w:tabs>
        <w:spacing w:after="0"/>
        <w:jc w:val="both"/>
        <w:rPr>
          <w:sz w:val="20"/>
          <w:szCs w:val="20"/>
        </w:rPr>
      </w:pPr>
      <w:r w:rsidRPr="00B910B6">
        <w:rPr>
          <w:sz w:val="20"/>
          <w:szCs w:val="20"/>
        </w:rPr>
        <w:t xml:space="preserve">Para tal fin, </w:t>
      </w:r>
      <w:r w:rsidR="00D62285" w:rsidRPr="00B910B6">
        <w:rPr>
          <w:b/>
          <w:sz w:val="20"/>
          <w:szCs w:val="20"/>
        </w:rPr>
        <w:t>“El Prestador”</w:t>
      </w:r>
      <w:r w:rsidRPr="00B910B6">
        <w:rPr>
          <w:sz w:val="20"/>
          <w:szCs w:val="20"/>
        </w:rPr>
        <w:t xml:space="preserve"> deberá proporcionar los nombres, teléfonos y correos electrónicos del personal con quien contactar en caso de emergencia.</w:t>
      </w:r>
    </w:p>
    <w:p w14:paraId="0E888825" w14:textId="77777777" w:rsidR="00382E4B" w:rsidRDefault="00382E4B" w:rsidP="00382E4B">
      <w:pPr>
        <w:tabs>
          <w:tab w:val="left" w:pos="284"/>
        </w:tabs>
        <w:spacing w:after="0"/>
        <w:jc w:val="both"/>
        <w:rPr>
          <w:b/>
          <w:sz w:val="20"/>
          <w:szCs w:val="20"/>
          <w:u w:val="single"/>
        </w:rPr>
      </w:pPr>
    </w:p>
    <w:p w14:paraId="59611E1B" w14:textId="77777777" w:rsidR="00120E33" w:rsidRDefault="00120E33" w:rsidP="00B910B6">
      <w:pPr>
        <w:spacing w:after="80"/>
        <w:jc w:val="both"/>
        <w:rPr>
          <w:b/>
          <w:sz w:val="20"/>
          <w:szCs w:val="20"/>
          <w:u w:val="single"/>
        </w:rPr>
      </w:pPr>
    </w:p>
    <w:p w14:paraId="377EF084" w14:textId="77777777" w:rsidR="00120E33" w:rsidRDefault="00120E33" w:rsidP="00B910B6">
      <w:pPr>
        <w:spacing w:after="80"/>
        <w:jc w:val="both"/>
        <w:rPr>
          <w:b/>
          <w:sz w:val="20"/>
          <w:szCs w:val="20"/>
          <w:u w:val="single"/>
        </w:rPr>
      </w:pPr>
    </w:p>
    <w:p w14:paraId="6A118A03" w14:textId="7DCCDE73" w:rsidR="00FB4F91" w:rsidRPr="00B910B6" w:rsidRDefault="00FB4F91" w:rsidP="00B910B6">
      <w:pPr>
        <w:spacing w:after="80"/>
        <w:jc w:val="both"/>
        <w:rPr>
          <w:b/>
          <w:sz w:val="20"/>
          <w:szCs w:val="20"/>
          <w:u w:val="single"/>
        </w:rPr>
      </w:pPr>
      <w:r w:rsidRPr="00B910B6">
        <w:rPr>
          <w:b/>
          <w:sz w:val="20"/>
          <w:szCs w:val="20"/>
          <w:u w:val="single"/>
        </w:rPr>
        <w:t>GARANTÍA EN LA EJECUCIÓN DEL SERVICIO</w:t>
      </w:r>
    </w:p>
    <w:p w14:paraId="6A118A06" w14:textId="4C998E3D" w:rsidR="0003250A" w:rsidRDefault="0003250A" w:rsidP="00B910B6">
      <w:pPr>
        <w:tabs>
          <w:tab w:val="left" w:pos="284"/>
        </w:tabs>
        <w:spacing w:after="0"/>
        <w:jc w:val="both"/>
        <w:rPr>
          <w:sz w:val="20"/>
          <w:szCs w:val="20"/>
        </w:rPr>
      </w:pPr>
      <w:r w:rsidRPr="00B910B6">
        <w:rPr>
          <w:sz w:val="20"/>
          <w:szCs w:val="20"/>
        </w:rPr>
        <w:t>Se solicita que el servicio cuente con una garantía mínima de 30 días en man</w:t>
      </w:r>
      <w:r w:rsidR="00230096" w:rsidRPr="00B910B6">
        <w:rPr>
          <w:sz w:val="20"/>
          <w:szCs w:val="20"/>
        </w:rPr>
        <w:t>o de obra</w:t>
      </w:r>
      <w:r w:rsidRPr="00B910B6">
        <w:rPr>
          <w:sz w:val="20"/>
          <w:szCs w:val="20"/>
        </w:rPr>
        <w:t xml:space="preserve">, </w:t>
      </w:r>
      <w:r w:rsidR="00230096" w:rsidRPr="00B910B6">
        <w:rPr>
          <w:sz w:val="20"/>
          <w:szCs w:val="20"/>
        </w:rPr>
        <w:t xml:space="preserve">en el caso de piezas o materiales que suministre </w:t>
      </w:r>
      <w:r w:rsidR="00D62285" w:rsidRPr="00B910B6">
        <w:rPr>
          <w:b/>
          <w:sz w:val="20"/>
          <w:szCs w:val="20"/>
        </w:rPr>
        <w:t>“El Prestador”</w:t>
      </w:r>
      <w:r w:rsidR="00230096" w:rsidRPr="00B910B6">
        <w:rPr>
          <w:sz w:val="20"/>
          <w:szCs w:val="20"/>
        </w:rPr>
        <w:t xml:space="preserve"> del servicio, las garantías correrán por cuenta de </w:t>
      </w:r>
      <w:r w:rsidR="00D62285" w:rsidRPr="00B910B6">
        <w:rPr>
          <w:b/>
          <w:sz w:val="20"/>
          <w:szCs w:val="20"/>
        </w:rPr>
        <w:t>“El Prestador”</w:t>
      </w:r>
      <w:r w:rsidR="00230096" w:rsidRPr="00B910B6">
        <w:rPr>
          <w:sz w:val="20"/>
          <w:szCs w:val="20"/>
        </w:rPr>
        <w:t xml:space="preserve"> del servicio, obligándose a sustituir de inmediato, el material o pieza defectuosa, lo cual deberá manifestarlo por escrito bajo protesta de decir verdad.</w:t>
      </w:r>
    </w:p>
    <w:p w14:paraId="39F291C1" w14:textId="77777777" w:rsidR="006C3246" w:rsidRPr="00B910B6" w:rsidRDefault="006C3246" w:rsidP="00B910B6">
      <w:pPr>
        <w:tabs>
          <w:tab w:val="left" w:pos="284"/>
        </w:tabs>
        <w:spacing w:after="0"/>
        <w:jc w:val="both"/>
        <w:rPr>
          <w:sz w:val="20"/>
          <w:szCs w:val="20"/>
        </w:rPr>
      </w:pPr>
    </w:p>
    <w:p w14:paraId="573610F3" w14:textId="77777777" w:rsidR="00382E4B" w:rsidRDefault="00382E4B" w:rsidP="00382E4B">
      <w:pPr>
        <w:tabs>
          <w:tab w:val="left" w:pos="284"/>
        </w:tabs>
        <w:spacing w:after="0"/>
        <w:jc w:val="both"/>
        <w:rPr>
          <w:b/>
          <w:sz w:val="20"/>
          <w:szCs w:val="20"/>
          <w:u w:val="single"/>
        </w:rPr>
      </w:pPr>
    </w:p>
    <w:p w14:paraId="6A118A0E" w14:textId="424D00A3" w:rsidR="006B175E" w:rsidRPr="00B910B6" w:rsidRDefault="006B175E" w:rsidP="00B910B6">
      <w:pPr>
        <w:spacing w:after="80"/>
        <w:jc w:val="both"/>
        <w:rPr>
          <w:b/>
          <w:sz w:val="20"/>
          <w:szCs w:val="20"/>
          <w:u w:val="single"/>
        </w:rPr>
      </w:pPr>
      <w:r w:rsidRPr="00B910B6">
        <w:rPr>
          <w:b/>
          <w:sz w:val="20"/>
          <w:szCs w:val="20"/>
          <w:u w:val="single"/>
        </w:rPr>
        <w:t>TIEMPO DE EJECUCIÓN</w:t>
      </w:r>
    </w:p>
    <w:p w14:paraId="2B544D9A" w14:textId="3A2E839D" w:rsidR="001E6FCC" w:rsidRDefault="006B175E" w:rsidP="00382E4B">
      <w:pPr>
        <w:tabs>
          <w:tab w:val="left" w:pos="284"/>
        </w:tabs>
        <w:spacing w:after="0"/>
        <w:jc w:val="both"/>
        <w:rPr>
          <w:sz w:val="20"/>
          <w:szCs w:val="20"/>
        </w:rPr>
      </w:pPr>
      <w:r w:rsidRPr="00B910B6">
        <w:rPr>
          <w:sz w:val="20"/>
          <w:szCs w:val="20"/>
        </w:rPr>
        <w:t>El plazo de ejecución de los servicios se comprende del 01 de enero al 31 de diciembre de 20</w:t>
      </w:r>
      <w:r w:rsidR="007930FC" w:rsidRPr="00B910B6">
        <w:rPr>
          <w:sz w:val="20"/>
          <w:szCs w:val="20"/>
        </w:rPr>
        <w:t>2</w:t>
      </w:r>
      <w:r w:rsidR="00805E65">
        <w:rPr>
          <w:sz w:val="20"/>
          <w:szCs w:val="20"/>
        </w:rPr>
        <w:t>4</w:t>
      </w:r>
    </w:p>
    <w:p w14:paraId="7D229038" w14:textId="3107B06D" w:rsidR="001E6FCC" w:rsidRDefault="001E6FCC" w:rsidP="00382E4B">
      <w:pPr>
        <w:tabs>
          <w:tab w:val="left" w:pos="284"/>
        </w:tabs>
        <w:spacing w:after="0"/>
        <w:jc w:val="both"/>
        <w:rPr>
          <w:sz w:val="20"/>
          <w:szCs w:val="20"/>
        </w:rPr>
      </w:pPr>
    </w:p>
    <w:p w14:paraId="6A118A18" w14:textId="07080850" w:rsidR="00FB4F91" w:rsidRPr="00B910B6" w:rsidRDefault="00FB4F91" w:rsidP="00B910B6">
      <w:pPr>
        <w:spacing w:after="80"/>
        <w:jc w:val="both"/>
        <w:rPr>
          <w:b/>
          <w:sz w:val="20"/>
          <w:szCs w:val="20"/>
          <w:u w:val="single"/>
        </w:rPr>
      </w:pPr>
      <w:r w:rsidRPr="00B910B6">
        <w:rPr>
          <w:b/>
          <w:sz w:val="20"/>
          <w:szCs w:val="20"/>
          <w:u w:val="single"/>
        </w:rPr>
        <w:t>HERRAMIENTAS Y EQUIPO DE PROTECCIÓN PERSONAL</w:t>
      </w:r>
    </w:p>
    <w:p w14:paraId="6A118A1A" w14:textId="30197C75" w:rsidR="009A062B" w:rsidRDefault="004D35CD" w:rsidP="00B910B6">
      <w:pPr>
        <w:pStyle w:val="Prrafodelista"/>
        <w:tabs>
          <w:tab w:val="left" w:pos="284"/>
        </w:tabs>
        <w:spacing w:after="0"/>
        <w:ind w:left="0"/>
        <w:contextualSpacing w:val="0"/>
        <w:jc w:val="both"/>
        <w:rPr>
          <w:sz w:val="20"/>
          <w:szCs w:val="20"/>
        </w:rPr>
      </w:pPr>
      <w:bookmarkStart w:id="0" w:name="_Hlk13571291"/>
      <w:bookmarkStart w:id="1" w:name="_Hlk14173745"/>
      <w:r w:rsidRPr="00B910B6">
        <w:rPr>
          <w:sz w:val="20"/>
          <w:szCs w:val="20"/>
        </w:rPr>
        <w:t>La empresa será la encargada del suministro de todos los materiales, consumibles, equipo, herramienta, escaleras, equipo de seguridad y todo lo que considere necesario para la realización de los trabajos objeto del servicio, lo cual deberá de manifestarlo por escrito bajo protesta de decir verdad. Tal escrito formará parte de su propuesta técnica</w:t>
      </w:r>
      <w:r w:rsidR="000B6559" w:rsidRPr="00B910B6">
        <w:rPr>
          <w:sz w:val="20"/>
          <w:szCs w:val="20"/>
        </w:rPr>
        <w:t>.</w:t>
      </w:r>
      <w:r w:rsidR="009A062B" w:rsidRPr="00B910B6">
        <w:rPr>
          <w:sz w:val="20"/>
          <w:szCs w:val="20"/>
        </w:rPr>
        <w:t xml:space="preserve"> </w:t>
      </w:r>
      <w:bookmarkEnd w:id="0"/>
    </w:p>
    <w:p w14:paraId="5CC8547E" w14:textId="77777777" w:rsidR="006C3246" w:rsidRPr="00B910B6" w:rsidRDefault="006C3246" w:rsidP="00B910B6">
      <w:pPr>
        <w:pStyle w:val="Prrafodelista"/>
        <w:tabs>
          <w:tab w:val="left" w:pos="284"/>
        </w:tabs>
        <w:spacing w:after="0"/>
        <w:ind w:left="0"/>
        <w:contextualSpacing w:val="0"/>
        <w:jc w:val="both"/>
        <w:rPr>
          <w:b/>
          <w:sz w:val="20"/>
          <w:szCs w:val="20"/>
        </w:rPr>
      </w:pPr>
    </w:p>
    <w:bookmarkEnd w:id="1"/>
    <w:p w14:paraId="3781E42D" w14:textId="77777777" w:rsidR="001A00BF" w:rsidRDefault="001A00BF" w:rsidP="001A00BF">
      <w:pPr>
        <w:pStyle w:val="Prrafodelista"/>
        <w:tabs>
          <w:tab w:val="left" w:pos="284"/>
        </w:tabs>
        <w:spacing w:after="0"/>
        <w:ind w:left="0"/>
        <w:contextualSpacing w:val="0"/>
        <w:jc w:val="both"/>
        <w:rPr>
          <w:b/>
          <w:sz w:val="20"/>
          <w:szCs w:val="20"/>
          <w:u w:val="single"/>
        </w:rPr>
      </w:pPr>
    </w:p>
    <w:p w14:paraId="6A118A3A" w14:textId="05EBDF8A" w:rsidR="00FC192F" w:rsidRPr="00B910B6" w:rsidRDefault="00FC192F" w:rsidP="00B910B6">
      <w:pPr>
        <w:spacing w:after="80"/>
        <w:jc w:val="both"/>
        <w:rPr>
          <w:b/>
          <w:sz w:val="20"/>
          <w:szCs w:val="20"/>
          <w:u w:val="single"/>
        </w:rPr>
      </w:pPr>
      <w:r w:rsidRPr="00B910B6">
        <w:rPr>
          <w:b/>
          <w:sz w:val="20"/>
          <w:szCs w:val="20"/>
          <w:u w:val="single"/>
        </w:rPr>
        <w:t>CONDICIONES DE PAGO</w:t>
      </w:r>
    </w:p>
    <w:p w14:paraId="6A118A3C" w14:textId="3BBFE5AF" w:rsidR="00FC192F" w:rsidRDefault="00FC192F" w:rsidP="00B910B6">
      <w:pPr>
        <w:tabs>
          <w:tab w:val="left" w:pos="284"/>
        </w:tabs>
        <w:spacing w:after="0"/>
        <w:jc w:val="both"/>
        <w:rPr>
          <w:sz w:val="20"/>
          <w:szCs w:val="20"/>
        </w:rPr>
      </w:pPr>
      <w:r w:rsidRPr="00B910B6">
        <w:rPr>
          <w:sz w:val="20"/>
          <w:szCs w:val="20"/>
        </w:rPr>
        <w:t xml:space="preserve">El (los) pago(s) será(n) cubierto(s) y entregado(s) en el domicilio en que se </w:t>
      </w:r>
      <w:r w:rsidR="003E66C8" w:rsidRPr="00B910B6">
        <w:rPr>
          <w:sz w:val="20"/>
          <w:szCs w:val="20"/>
        </w:rPr>
        <w:t xml:space="preserve">encuentran </w:t>
      </w:r>
      <w:r w:rsidRPr="00B910B6">
        <w:rPr>
          <w:sz w:val="20"/>
          <w:szCs w:val="20"/>
        </w:rPr>
        <w:t>las oficinas de la</w:t>
      </w:r>
      <w:r w:rsidR="009258F6">
        <w:rPr>
          <w:sz w:val="20"/>
          <w:szCs w:val="20"/>
        </w:rPr>
        <w:t xml:space="preserve"> Delegación Administrativa de la Sala Regional Toluca</w:t>
      </w:r>
      <w:r w:rsidRPr="00B910B6">
        <w:rPr>
          <w:sz w:val="20"/>
          <w:szCs w:val="20"/>
        </w:rPr>
        <w:t xml:space="preserve">, ubicadas en la </w:t>
      </w:r>
      <w:r w:rsidR="009258F6">
        <w:rPr>
          <w:iCs/>
          <w:color w:val="000000"/>
          <w:sz w:val="20"/>
          <w:szCs w:val="20"/>
        </w:rPr>
        <w:t>Avenida Morelos Poniente 1610-A, Colonia San Bernardino, Toluca de Lerdo, Estado de México, C.P. 50080</w:t>
      </w:r>
      <w:r w:rsidRPr="00B910B6">
        <w:rPr>
          <w:sz w:val="20"/>
          <w:szCs w:val="20"/>
        </w:rPr>
        <w:t xml:space="preserve">, dentro de las 09:00 a las 15:00 horas en días hábiles, en moneda nacional a través de cheque nominativo </w:t>
      </w:r>
      <w:r w:rsidR="00163880" w:rsidRPr="00B910B6">
        <w:rPr>
          <w:sz w:val="20"/>
          <w:szCs w:val="20"/>
          <w:lang w:eastAsia="es-ES"/>
        </w:rPr>
        <w:t xml:space="preserve">o transferencia electrónica a nombre de </w:t>
      </w:r>
      <w:r w:rsidR="00D62285" w:rsidRPr="00B910B6">
        <w:rPr>
          <w:b/>
          <w:sz w:val="20"/>
          <w:szCs w:val="20"/>
        </w:rPr>
        <w:t>“El Prestador”</w:t>
      </w:r>
      <w:r w:rsidRPr="00B910B6">
        <w:rPr>
          <w:sz w:val="20"/>
          <w:szCs w:val="20"/>
        </w:rPr>
        <w:t xml:space="preserve"> en un plazo de 15 días hábiles, contados a partir de la aceptación de los Comprobantes Fiscales Digitales por Internet (</w:t>
      </w:r>
      <w:r w:rsidRPr="00B910B6">
        <w:rPr>
          <w:b/>
          <w:sz w:val="20"/>
          <w:szCs w:val="20"/>
        </w:rPr>
        <w:t>CFDI’s</w:t>
      </w:r>
      <w:r w:rsidRPr="00B910B6">
        <w:rPr>
          <w:sz w:val="20"/>
          <w:szCs w:val="20"/>
        </w:rPr>
        <w:t xml:space="preserve">), mismo(s) que debe(n) cumplir con los requisitos fiscales vigentes, sin abreviaturas el nombre completo, domicilio fiscal y Registro Federal de Contribuyente de </w:t>
      </w:r>
      <w:r w:rsidR="00D62285" w:rsidRPr="00B910B6">
        <w:rPr>
          <w:b/>
          <w:sz w:val="20"/>
          <w:szCs w:val="20"/>
        </w:rPr>
        <w:t>“El Tribunal”</w:t>
      </w:r>
      <w:r w:rsidRPr="00B910B6">
        <w:rPr>
          <w:sz w:val="20"/>
          <w:szCs w:val="20"/>
        </w:rPr>
        <w:t xml:space="preserve">, la descripción completa de los trabajos, el Impuesto al Valor Agregado desglosado, los datos de </w:t>
      </w:r>
      <w:r w:rsidR="00D62285" w:rsidRPr="00B910B6">
        <w:rPr>
          <w:b/>
          <w:sz w:val="20"/>
          <w:szCs w:val="20"/>
        </w:rPr>
        <w:t>“El Prestador”</w:t>
      </w:r>
      <w:r w:rsidRPr="00B910B6">
        <w:rPr>
          <w:sz w:val="20"/>
          <w:szCs w:val="20"/>
        </w:rPr>
        <w:t xml:space="preserve"> (nombre completo, Registro Federal de Contribuyente</w:t>
      </w:r>
      <w:r w:rsidR="00C32A3F">
        <w:rPr>
          <w:sz w:val="20"/>
          <w:szCs w:val="20"/>
        </w:rPr>
        <w:t xml:space="preserve"> y </w:t>
      </w:r>
      <w:r w:rsidRPr="00B910B6">
        <w:rPr>
          <w:sz w:val="20"/>
          <w:szCs w:val="20"/>
        </w:rPr>
        <w:t xml:space="preserve">domicilio fiscal); una vez concluido el servicio previa conciliación y aprobación de los trabajos realizados por parte del personal técnico de la </w:t>
      </w:r>
      <w:r w:rsidRPr="00B910B6">
        <w:rPr>
          <w:spacing w:val="3"/>
          <w:sz w:val="20"/>
          <w:szCs w:val="20"/>
          <w:lang w:val="es-ES_tradnl"/>
        </w:rPr>
        <w:t>Dirección de Mantenimiento</w:t>
      </w:r>
      <w:r w:rsidRPr="00B910B6">
        <w:rPr>
          <w:sz w:val="20"/>
          <w:szCs w:val="20"/>
        </w:rPr>
        <w:t>.</w:t>
      </w:r>
    </w:p>
    <w:p w14:paraId="6FBC0DD8" w14:textId="77777777" w:rsidR="006C3246" w:rsidRPr="00B910B6" w:rsidRDefault="006C3246" w:rsidP="00B910B6">
      <w:pPr>
        <w:tabs>
          <w:tab w:val="left" w:pos="284"/>
        </w:tabs>
        <w:spacing w:after="0"/>
        <w:jc w:val="both"/>
        <w:rPr>
          <w:sz w:val="20"/>
          <w:szCs w:val="20"/>
        </w:rPr>
      </w:pPr>
    </w:p>
    <w:p w14:paraId="6A118A3E" w14:textId="3EBC490F" w:rsidR="005C6D3E" w:rsidRDefault="005C6D3E" w:rsidP="00B910B6">
      <w:pPr>
        <w:tabs>
          <w:tab w:val="left" w:pos="284"/>
        </w:tabs>
        <w:spacing w:after="0"/>
        <w:jc w:val="both"/>
        <w:rPr>
          <w:sz w:val="20"/>
          <w:szCs w:val="20"/>
        </w:rPr>
      </w:pPr>
      <w:r w:rsidRPr="00B910B6">
        <w:rPr>
          <w:sz w:val="20"/>
          <w:szCs w:val="20"/>
        </w:rPr>
        <w:t>En términos del artículo 38 del Acuerdo General</w:t>
      </w:r>
      <w:r w:rsidR="00735A43">
        <w:rPr>
          <w:sz w:val="20"/>
          <w:szCs w:val="20"/>
        </w:rPr>
        <w:t xml:space="preserve"> </w:t>
      </w:r>
      <w:r w:rsidR="006A32E5">
        <w:rPr>
          <w:iCs/>
          <w:sz w:val="20"/>
          <w:szCs w:val="20"/>
        </w:rPr>
        <w:t>que regula los procedimientos de adquisición, arrendamiento de bienes muebles, prestación de servicios, obra pública y los servicios relacionados con la misma del Tribunal Electoral del Poder Judicial de la Federación</w:t>
      </w:r>
      <w:r w:rsidRPr="00B910B6">
        <w:rPr>
          <w:sz w:val="20"/>
          <w:szCs w:val="20"/>
        </w:rPr>
        <w:t xml:space="preserve">, los pagos respectivos estarán sujetos a la disponibilidad presupuestaria del año en el que se prevé el inicio de la vigencia o plazo de ejecución, por lo que sus efectos estarán condicionados a la existencia de los recursos presupuestarios respectivos, sin que la falta de </w:t>
      </w:r>
      <w:r w:rsidR="008E4EA1" w:rsidRPr="00B910B6">
        <w:rPr>
          <w:sz w:val="20"/>
          <w:szCs w:val="20"/>
        </w:rPr>
        <w:t>é</w:t>
      </w:r>
      <w:r w:rsidRPr="00B910B6">
        <w:rPr>
          <w:sz w:val="20"/>
          <w:szCs w:val="20"/>
        </w:rPr>
        <w:t>stos origine responsabilidad por alguna de las partes.</w:t>
      </w:r>
    </w:p>
    <w:p w14:paraId="75D2C179" w14:textId="77777777" w:rsidR="006C3246" w:rsidRPr="00B910B6" w:rsidRDefault="006C3246" w:rsidP="00B910B6">
      <w:pPr>
        <w:tabs>
          <w:tab w:val="left" w:pos="284"/>
        </w:tabs>
        <w:spacing w:after="0"/>
        <w:jc w:val="both"/>
        <w:rPr>
          <w:sz w:val="20"/>
          <w:szCs w:val="20"/>
        </w:rPr>
      </w:pPr>
    </w:p>
    <w:p w14:paraId="42998875" w14:textId="77777777" w:rsidR="001631DC" w:rsidRDefault="001631DC" w:rsidP="001631DC">
      <w:pPr>
        <w:spacing w:after="0"/>
        <w:jc w:val="both"/>
        <w:rPr>
          <w:sz w:val="20"/>
          <w:szCs w:val="20"/>
        </w:rPr>
      </w:pPr>
      <w:bookmarkStart w:id="2" w:name="_Hlk58341973"/>
      <w:r w:rsidRPr="00B910B6">
        <w:rPr>
          <w:b/>
          <w:sz w:val="20"/>
          <w:szCs w:val="20"/>
        </w:rPr>
        <w:t>“El Tribunal”</w:t>
      </w:r>
      <w:r w:rsidRPr="00B910B6">
        <w:rPr>
          <w:sz w:val="20"/>
          <w:szCs w:val="20"/>
        </w:rPr>
        <w:t xml:space="preserve"> cubrirá el pago por los servicios de mantenimiento a </w:t>
      </w:r>
      <w:r w:rsidRPr="00B910B6">
        <w:rPr>
          <w:b/>
          <w:sz w:val="20"/>
          <w:szCs w:val="20"/>
        </w:rPr>
        <w:t>“El Prestador”</w:t>
      </w:r>
      <w:r w:rsidRPr="00B910B6">
        <w:rPr>
          <w:sz w:val="20"/>
          <w:szCs w:val="20"/>
        </w:rPr>
        <w:t xml:space="preserve"> por servicio devengado, con facturación por servicio realizado, en la cual se indicará el servicio realizado, el precio unitario y el I</w:t>
      </w:r>
      <w:r>
        <w:rPr>
          <w:sz w:val="20"/>
          <w:szCs w:val="20"/>
        </w:rPr>
        <w:t>.</w:t>
      </w:r>
      <w:r w:rsidRPr="00B910B6">
        <w:rPr>
          <w:sz w:val="20"/>
          <w:szCs w:val="20"/>
        </w:rPr>
        <w:t>V</w:t>
      </w:r>
      <w:r>
        <w:rPr>
          <w:sz w:val="20"/>
          <w:szCs w:val="20"/>
        </w:rPr>
        <w:t>.</w:t>
      </w:r>
      <w:r w:rsidRPr="00B910B6">
        <w:rPr>
          <w:sz w:val="20"/>
          <w:szCs w:val="20"/>
        </w:rPr>
        <w:t>A</w:t>
      </w:r>
      <w:r>
        <w:rPr>
          <w:sz w:val="20"/>
          <w:szCs w:val="20"/>
        </w:rPr>
        <w:t>.</w:t>
      </w:r>
      <w:r w:rsidRPr="00B910B6">
        <w:rPr>
          <w:sz w:val="20"/>
          <w:szCs w:val="20"/>
        </w:rPr>
        <w:t xml:space="preserve"> por separado, así como el importe total. El plazo no incluye aclaraciones o demoras atribuibles a “</w:t>
      </w:r>
      <w:r w:rsidRPr="00B910B6">
        <w:rPr>
          <w:b/>
          <w:sz w:val="20"/>
          <w:szCs w:val="20"/>
        </w:rPr>
        <w:t>E</w:t>
      </w:r>
      <w:r>
        <w:rPr>
          <w:b/>
          <w:sz w:val="20"/>
          <w:szCs w:val="20"/>
        </w:rPr>
        <w:t xml:space="preserve">l </w:t>
      </w:r>
      <w:r w:rsidRPr="00B910B6">
        <w:rPr>
          <w:b/>
          <w:sz w:val="20"/>
          <w:szCs w:val="20"/>
        </w:rPr>
        <w:t>P</w:t>
      </w:r>
      <w:r>
        <w:rPr>
          <w:b/>
          <w:sz w:val="20"/>
          <w:szCs w:val="20"/>
        </w:rPr>
        <w:t>restador</w:t>
      </w:r>
      <w:r w:rsidRPr="00B910B6">
        <w:rPr>
          <w:sz w:val="20"/>
          <w:szCs w:val="20"/>
        </w:rPr>
        <w:t>” o carencia de documentos comprobatorios para la emisión del pago.</w:t>
      </w:r>
      <w:bookmarkEnd w:id="2"/>
    </w:p>
    <w:p w14:paraId="2395BDA8" w14:textId="77777777" w:rsidR="001631DC" w:rsidRDefault="001631DC" w:rsidP="00B910B6">
      <w:pPr>
        <w:pStyle w:val="Prrafodelista"/>
        <w:spacing w:after="0"/>
        <w:ind w:left="0" w:right="141"/>
        <w:contextualSpacing w:val="0"/>
        <w:jc w:val="both"/>
        <w:rPr>
          <w:sz w:val="20"/>
          <w:szCs w:val="20"/>
          <w:lang w:eastAsia="es-ES"/>
        </w:rPr>
      </w:pPr>
    </w:p>
    <w:p w14:paraId="1914CC28" w14:textId="6AE30DCF" w:rsidR="00163880" w:rsidRDefault="00163880" w:rsidP="00B910B6">
      <w:pPr>
        <w:pStyle w:val="Prrafodelista"/>
        <w:spacing w:after="0"/>
        <w:ind w:left="0" w:right="141"/>
        <w:contextualSpacing w:val="0"/>
        <w:jc w:val="both"/>
        <w:rPr>
          <w:sz w:val="20"/>
          <w:szCs w:val="20"/>
          <w:lang w:eastAsia="es-ES"/>
        </w:rPr>
      </w:pPr>
      <w:r w:rsidRPr="00B910B6">
        <w:rPr>
          <w:sz w:val="20"/>
          <w:szCs w:val="20"/>
          <w:lang w:eastAsia="es-ES"/>
        </w:rPr>
        <w:lastRenderedPageBreak/>
        <w:t xml:space="preserve">En el supuesto de que </w:t>
      </w:r>
      <w:r w:rsidR="00D62285" w:rsidRPr="00B910B6">
        <w:rPr>
          <w:b/>
          <w:sz w:val="20"/>
          <w:szCs w:val="20"/>
          <w:lang w:eastAsia="es-ES"/>
        </w:rPr>
        <w:t>“El Prestador”</w:t>
      </w:r>
      <w:r w:rsidRPr="00B910B6">
        <w:rPr>
          <w:sz w:val="20"/>
          <w:szCs w:val="20"/>
          <w:lang w:eastAsia="es-ES"/>
        </w:rPr>
        <w:t xml:space="preserve"> del servicio adjudicado requiera que el pago se realice por transferencia electrónica bancaria deberá presentar un escrito firmado, en el que especifique nombre del titular, nombre del banco, número de cuenta, número de </w:t>
      </w:r>
      <w:r w:rsidRPr="00B910B6">
        <w:rPr>
          <w:b/>
          <w:sz w:val="20"/>
          <w:szCs w:val="20"/>
          <w:lang w:eastAsia="es-ES"/>
        </w:rPr>
        <w:t>CLABE</w:t>
      </w:r>
      <w:r w:rsidRPr="00B910B6">
        <w:rPr>
          <w:sz w:val="20"/>
          <w:szCs w:val="20"/>
          <w:lang w:eastAsia="es-ES"/>
        </w:rPr>
        <w:t>, sucursal y plaza. Asimismo, deberá entregar en la Dirección de Mantenimiento, una copia del encabezado de su estado de cuenta bancario.</w:t>
      </w:r>
    </w:p>
    <w:p w14:paraId="2CAD0D81" w14:textId="77777777" w:rsidR="006C3246" w:rsidRPr="00B910B6" w:rsidRDefault="006C3246" w:rsidP="00B910B6">
      <w:pPr>
        <w:pStyle w:val="Prrafodelista"/>
        <w:spacing w:after="0"/>
        <w:ind w:left="0" w:right="141"/>
        <w:contextualSpacing w:val="0"/>
        <w:jc w:val="both"/>
        <w:rPr>
          <w:sz w:val="20"/>
          <w:szCs w:val="20"/>
          <w:lang w:eastAsia="es-ES"/>
        </w:rPr>
      </w:pPr>
    </w:p>
    <w:p w14:paraId="152588E5" w14:textId="77777777" w:rsidR="001631DC" w:rsidRDefault="001631DC" w:rsidP="001631DC">
      <w:pPr>
        <w:spacing w:after="0"/>
        <w:jc w:val="both"/>
        <w:rPr>
          <w:iCs/>
          <w:sz w:val="20"/>
          <w:szCs w:val="20"/>
        </w:rPr>
      </w:pPr>
      <w:bookmarkStart w:id="3" w:name="_Hlk81234780"/>
      <w:r>
        <w:rPr>
          <w:iCs/>
          <w:sz w:val="20"/>
          <w:szCs w:val="20"/>
        </w:rPr>
        <w:t xml:space="preserve">Las facturas (CFDI) que presente </w:t>
      </w:r>
      <w:r>
        <w:rPr>
          <w:b/>
          <w:bCs/>
          <w:iCs/>
          <w:sz w:val="20"/>
          <w:szCs w:val="20"/>
        </w:rPr>
        <w:t>“El Prestador”</w:t>
      </w:r>
      <w:r>
        <w:rPr>
          <w:iCs/>
          <w:sz w:val="20"/>
          <w:szCs w:val="20"/>
        </w:rPr>
        <w:t xml:space="preserve"> de servicios, deberán reunir los requisitos fiscales de ley, y contener sin abreviaturas nombre completo, domicilio fiscal y Registro Federal de Contribuyentes, como a continuación se señala:</w:t>
      </w:r>
    </w:p>
    <w:p w14:paraId="5C017116" w14:textId="77777777" w:rsidR="001631DC" w:rsidRDefault="001631DC" w:rsidP="001631DC">
      <w:pPr>
        <w:spacing w:after="0"/>
        <w:jc w:val="both"/>
        <w:rPr>
          <w:b/>
          <w:iCs/>
          <w:sz w:val="20"/>
          <w:szCs w:val="20"/>
        </w:rPr>
      </w:pPr>
    </w:p>
    <w:p w14:paraId="3E5C462A" w14:textId="77777777" w:rsidR="001631DC" w:rsidRDefault="001631DC" w:rsidP="001631DC">
      <w:pPr>
        <w:spacing w:after="0"/>
        <w:jc w:val="both"/>
        <w:rPr>
          <w:b/>
          <w:iCs/>
          <w:sz w:val="20"/>
          <w:szCs w:val="20"/>
        </w:rPr>
      </w:pPr>
      <w:r>
        <w:rPr>
          <w:b/>
          <w:iCs/>
          <w:sz w:val="20"/>
          <w:szCs w:val="20"/>
        </w:rPr>
        <w:t>TRIBUNAL ELECTORAL DEL PODER JUDICIAL DE LA FEDERACIÓN</w:t>
      </w:r>
    </w:p>
    <w:p w14:paraId="74FC85AF" w14:textId="77777777" w:rsidR="001631DC" w:rsidRDefault="001631DC" w:rsidP="001631DC">
      <w:pPr>
        <w:spacing w:after="0"/>
        <w:jc w:val="both"/>
        <w:rPr>
          <w:b/>
          <w:iCs/>
          <w:sz w:val="20"/>
          <w:szCs w:val="20"/>
        </w:rPr>
      </w:pPr>
      <w:r>
        <w:rPr>
          <w:b/>
          <w:iCs/>
          <w:sz w:val="20"/>
          <w:szCs w:val="20"/>
        </w:rPr>
        <w:t>Av. Carlota Armero 5000</w:t>
      </w:r>
    </w:p>
    <w:p w14:paraId="16A16EE8" w14:textId="77777777" w:rsidR="001631DC" w:rsidRDefault="001631DC" w:rsidP="001631DC">
      <w:pPr>
        <w:spacing w:after="0"/>
        <w:jc w:val="both"/>
        <w:rPr>
          <w:b/>
          <w:iCs/>
          <w:sz w:val="20"/>
          <w:szCs w:val="20"/>
        </w:rPr>
      </w:pPr>
      <w:r>
        <w:rPr>
          <w:b/>
          <w:iCs/>
          <w:sz w:val="20"/>
          <w:szCs w:val="20"/>
        </w:rPr>
        <w:t>Colonia C.T.M. Culhuacán, Sección VII</w:t>
      </w:r>
    </w:p>
    <w:p w14:paraId="4A287626" w14:textId="77777777" w:rsidR="001631DC" w:rsidRDefault="001631DC" w:rsidP="001631DC">
      <w:pPr>
        <w:spacing w:after="0"/>
        <w:jc w:val="both"/>
        <w:rPr>
          <w:b/>
          <w:iCs/>
          <w:sz w:val="20"/>
          <w:szCs w:val="20"/>
        </w:rPr>
      </w:pPr>
      <w:r>
        <w:rPr>
          <w:b/>
          <w:iCs/>
          <w:sz w:val="20"/>
          <w:szCs w:val="20"/>
        </w:rPr>
        <w:t>C.P. 04480</w:t>
      </w:r>
    </w:p>
    <w:p w14:paraId="0D496EAB" w14:textId="77777777" w:rsidR="001631DC" w:rsidRDefault="001631DC" w:rsidP="001631DC">
      <w:pPr>
        <w:spacing w:after="0"/>
        <w:jc w:val="both"/>
        <w:rPr>
          <w:b/>
          <w:iCs/>
          <w:sz w:val="20"/>
          <w:szCs w:val="20"/>
        </w:rPr>
      </w:pPr>
      <w:r>
        <w:rPr>
          <w:b/>
          <w:iCs/>
          <w:sz w:val="20"/>
          <w:szCs w:val="20"/>
        </w:rPr>
        <w:t>Alcaldía de Coyoacán</w:t>
      </w:r>
    </w:p>
    <w:p w14:paraId="552747F3" w14:textId="77777777" w:rsidR="001631DC" w:rsidRDefault="001631DC" w:rsidP="001631DC">
      <w:pPr>
        <w:spacing w:after="0"/>
        <w:jc w:val="both"/>
        <w:rPr>
          <w:b/>
          <w:iCs/>
          <w:sz w:val="20"/>
          <w:szCs w:val="20"/>
        </w:rPr>
      </w:pPr>
      <w:r>
        <w:rPr>
          <w:b/>
          <w:iCs/>
          <w:sz w:val="20"/>
          <w:szCs w:val="20"/>
        </w:rPr>
        <w:t>Ciudad de México</w:t>
      </w:r>
    </w:p>
    <w:p w14:paraId="5F000719" w14:textId="77777777" w:rsidR="001631DC" w:rsidRDefault="001631DC" w:rsidP="001631DC">
      <w:pPr>
        <w:spacing w:after="0"/>
        <w:jc w:val="both"/>
        <w:rPr>
          <w:b/>
          <w:iCs/>
          <w:sz w:val="20"/>
          <w:szCs w:val="20"/>
        </w:rPr>
      </w:pPr>
      <w:r>
        <w:rPr>
          <w:b/>
          <w:iCs/>
          <w:sz w:val="20"/>
          <w:szCs w:val="20"/>
        </w:rPr>
        <w:t>R.F.C.: TEP961122B8A</w:t>
      </w:r>
      <w:bookmarkEnd w:id="3"/>
    </w:p>
    <w:p w14:paraId="270E663F" w14:textId="77777777" w:rsidR="001631DC" w:rsidRPr="00B910B6" w:rsidRDefault="001631DC" w:rsidP="00B910B6">
      <w:pPr>
        <w:tabs>
          <w:tab w:val="left" w:pos="284"/>
        </w:tabs>
        <w:spacing w:after="0"/>
        <w:jc w:val="both"/>
        <w:rPr>
          <w:sz w:val="20"/>
          <w:szCs w:val="20"/>
        </w:rPr>
      </w:pPr>
    </w:p>
    <w:p w14:paraId="30F4DD01" w14:textId="77777777" w:rsidR="00825359" w:rsidRPr="00B72F95" w:rsidRDefault="00825359" w:rsidP="00825359">
      <w:r w:rsidRPr="00B72F95">
        <w:t xml:space="preserve">El costo </w:t>
      </w:r>
      <w:r>
        <w:t>ofertado por cada servicio</w:t>
      </w:r>
      <w:r w:rsidRPr="00B72F95">
        <w:t xml:space="preserve"> no variará durante la vigencia del contrato, el cual tendrá una vigencia del 1 de enero al 31 de diciembre del 2024.</w:t>
      </w:r>
    </w:p>
    <w:p w14:paraId="3CCF3ABE" w14:textId="1ADB3DE7" w:rsidR="00825359" w:rsidRPr="00B72F95" w:rsidRDefault="00825359" w:rsidP="00825359">
      <w:r w:rsidRPr="00B72F95">
        <w:t>El precio deberá ofertarse en moneda nacional, así como desglosar el IVA del servicio.</w:t>
      </w:r>
    </w:p>
    <w:p w14:paraId="750D5A85" w14:textId="0F0802D1" w:rsidR="00825359" w:rsidRDefault="00825359" w:rsidP="00825359">
      <w:r w:rsidRPr="00B72F95">
        <w:t>La vigencia de la cotización deberá ser al 31 de diciembre de 2023.</w:t>
      </w:r>
    </w:p>
    <w:p w14:paraId="4160CEC3" w14:textId="39E8E994" w:rsidR="00A24619" w:rsidRDefault="00A24619" w:rsidP="00825359"/>
    <w:p w14:paraId="3755AB55" w14:textId="1ACDBF68" w:rsidR="00A24619" w:rsidRDefault="00A24619" w:rsidP="00825359">
      <w:r>
        <w:t>DR. JUAN AJA CANALES</w:t>
      </w:r>
    </w:p>
    <w:p w14:paraId="6234CB5A" w14:textId="5443FD77" w:rsidR="00A24619" w:rsidRDefault="00A24619" w:rsidP="00825359">
      <w:r>
        <w:t xml:space="preserve">DELEGADO ADMINISTRATIVO </w:t>
      </w:r>
    </w:p>
    <w:p w14:paraId="4F5FB13F" w14:textId="7E3E7DA4" w:rsidR="00A24619" w:rsidRPr="00B72F95" w:rsidRDefault="00A24619" w:rsidP="00825359">
      <w:r>
        <w:t>SALA REGIONAL TOLUCA</w:t>
      </w:r>
    </w:p>
    <w:p w14:paraId="1DED3AC8" w14:textId="77777777" w:rsidR="00825359" w:rsidRPr="00B72F95" w:rsidRDefault="00825359" w:rsidP="00F515EF"/>
    <w:p w14:paraId="125985B2" w14:textId="77777777" w:rsidR="00F515EF" w:rsidRDefault="00F515EF" w:rsidP="00F515EF">
      <w:pPr>
        <w:pStyle w:val="Prrafodelista"/>
      </w:pPr>
    </w:p>
    <w:p w14:paraId="6C7563F3" w14:textId="301F105C" w:rsidR="00B73166" w:rsidRDefault="00B73166" w:rsidP="00B910B6">
      <w:pPr>
        <w:spacing w:after="0"/>
        <w:jc w:val="center"/>
        <w:rPr>
          <w:b/>
          <w:sz w:val="20"/>
          <w:szCs w:val="20"/>
        </w:rPr>
      </w:pPr>
    </w:p>
    <w:p w14:paraId="6A118A53" w14:textId="4CC5252F" w:rsidR="00193F29" w:rsidRPr="00B910B6" w:rsidRDefault="00507778" w:rsidP="00B910B6">
      <w:pPr>
        <w:spacing w:after="0"/>
        <w:jc w:val="center"/>
        <w:rPr>
          <w:b/>
          <w:sz w:val="20"/>
          <w:szCs w:val="20"/>
        </w:rPr>
      </w:pPr>
      <w:r w:rsidRPr="00B910B6">
        <w:rPr>
          <w:b/>
          <w:sz w:val="20"/>
          <w:szCs w:val="20"/>
        </w:rPr>
        <w:br w:type="page"/>
      </w:r>
    </w:p>
    <w:p w14:paraId="004F29DB" w14:textId="1A183436" w:rsidR="00936448" w:rsidRDefault="00E328EE" w:rsidP="00936448">
      <w:pPr>
        <w:spacing w:after="0"/>
        <w:jc w:val="center"/>
        <w:rPr>
          <w:noProof/>
          <w:sz w:val="20"/>
          <w:szCs w:val="20"/>
        </w:rPr>
      </w:pPr>
      <w:r>
        <w:rPr>
          <w:noProof/>
          <w:sz w:val="20"/>
          <w:szCs w:val="20"/>
        </w:rPr>
        <w:lastRenderedPageBreak/>
        <w:t>ANEXO 1</w:t>
      </w:r>
    </w:p>
    <w:p w14:paraId="5C04A9F0" w14:textId="0EADB2FC" w:rsidR="00EC55E9" w:rsidRPr="00B910B6" w:rsidRDefault="00EC55E9" w:rsidP="007A1485">
      <w:pPr>
        <w:tabs>
          <w:tab w:val="left" w:pos="4320"/>
          <w:tab w:val="left" w:pos="6662"/>
        </w:tabs>
        <w:spacing w:after="0"/>
        <w:jc w:val="center"/>
        <w:rPr>
          <w:sz w:val="20"/>
          <w:szCs w:val="20"/>
        </w:rPr>
      </w:pPr>
    </w:p>
    <w:p w14:paraId="29C895AA" w14:textId="06B7ABAA" w:rsidR="00731485" w:rsidRPr="00B910B6" w:rsidRDefault="00104682" w:rsidP="00B910B6">
      <w:pPr>
        <w:spacing w:after="0"/>
        <w:rPr>
          <w:sz w:val="20"/>
          <w:szCs w:val="20"/>
        </w:rPr>
      </w:pPr>
      <w:r w:rsidRPr="00104682">
        <w:rPr>
          <w:noProof/>
        </w:rPr>
        <w:drawing>
          <wp:inline distT="0" distB="0" distL="0" distR="0" wp14:anchorId="0F872BFF" wp14:editId="4A08338D">
            <wp:extent cx="6775407" cy="7212965"/>
            <wp:effectExtent l="0" t="0" r="698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6572" cy="7214205"/>
                    </a:xfrm>
                    <a:prstGeom prst="rect">
                      <a:avLst/>
                    </a:prstGeom>
                    <a:noFill/>
                    <a:ln>
                      <a:noFill/>
                    </a:ln>
                  </pic:spPr>
                </pic:pic>
              </a:graphicData>
            </a:graphic>
          </wp:inline>
        </w:drawing>
      </w:r>
      <w:r w:rsidRPr="00104682">
        <w:t xml:space="preserve"> </w:t>
      </w:r>
      <w:r w:rsidR="00731485" w:rsidRPr="00B910B6">
        <w:rPr>
          <w:sz w:val="20"/>
          <w:szCs w:val="20"/>
        </w:rPr>
        <w:br w:type="page"/>
      </w:r>
    </w:p>
    <w:p w14:paraId="54F18655" w14:textId="7EC4F65D" w:rsidR="000C71A4" w:rsidRDefault="000C71A4" w:rsidP="00B910B6">
      <w:pPr>
        <w:spacing w:after="0"/>
        <w:jc w:val="center"/>
        <w:rPr>
          <w:sz w:val="20"/>
          <w:szCs w:val="20"/>
        </w:rPr>
      </w:pPr>
    </w:p>
    <w:p w14:paraId="652C58ED" w14:textId="3EF6ADD3" w:rsidR="000C71A4" w:rsidRDefault="000C71A4" w:rsidP="00B910B6">
      <w:pPr>
        <w:spacing w:after="0"/>
        <w:jc w:val="center"/>
        <w:rPr>
          <w:sz w:val="20"/>
          <w:szCs w:val="20"/>
        </w:rPr>
      </w:pPr>
    </w:p>
    <w:p w14:paraId="001FD56E" w14:textId="70F6EFE2" w:rsidR="000C71A4" w:rsidRDefault="00104682" w:rsidP="00B910B6">
      <w:pPr>
        <w:spacing w:after="0"/>
        <w:jc w:val="center"/>
        <w:rPr>
          <w:sz w:val="20"/>
          <w:szCs w:val="20"/>
        </w:rPr>
      </w:pPr>
      <w:r w:rsidRPr="00104682">
        <w:rPr>
          <w:noProof/>
        </w:rPr>
        <w:drawing>
          <wp:inline distT="0" distB="0" distL="0" distR="0" wp14:anchorId="68F0A4CD" wp14:editId="5AFA7EE8">
            <wp:extent cx="6391275" cy="4062095"/>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4062095"/>
                    </a:xfrm>
                    <a:prstGeom prst="rect">
                      <a:avLst/>
                    </a:prstGeom>
                    <a:noFill/>
                    <a:ln>
                      <a:noFill/>
                    </a:ln>
                  </pic:spPr>
                </pic:pic>
              </a:graphicData>
            </a:graphic>
          </wp:inline>
        </w:drawing>
      </w:r>
    </w:p>
    <w:p w14:paraId="4E07E953" w14:textId="208F0253" w:rsidR="000C71A4" w:rsidRDefault="000C71A4" w:rsidP="00B910B6">
      <w:pPr>
        <w:spacing w:after="0"/>
        <w:jc w:val="center"/>
        <w:rPr>
          <w:sz w:val="20"/>
          <w:szCs w:val="20"/>
        </w:rPr>
      </w:pPr>
    </w:p>
    <w:p w14:paraId="2958F695" w14:textId="18EAF664" w:rsidR="000C71A4" w:rsidRPr="00B910B6" w:rsidRDefault="000C71A4" w:rsidP="00B910B6">
      <w:pPr>
        <w:spacing w:after="0"/>
        <w:jc w:val="center"/>
        <w:rPr>
          <w:sz w:val="20"/>
          <w:szCs w:val="20"/>
        </w:rPr>
      </w:pPr>
    </w:p>
    <w:p w14:paraId="58809F75" w14:textId="19C9AAA1" w:rsidR="00EC55E9" w:rsidRPr="00B910B6" w:rsidRDefault="00EC55E9" w:rsidP="00B910B6">
      <w:pPr>
        <w:spacing w:after="0"/>
        <w:jc w:val="center"/>
        <w:rPr>
          <w:sz w:val="20"/>
          <w:szCs w:val="20"/>
        </w:rPr>
      </w:pPr>
    </w:p>
    <w:p w14:paraId="458297CE" w14:textId="317337CF" w:rsidR="00731485" w:rsidRDefault="00731485" w:rsidP="00B910B6">
      <w:pPr>
        <w:spacing w:after="0"/>
        <w:jc w:val="center"/>
        <w:rPr>
          <w:sz w:val="20"/>
          <w:szCs w:val="20"/>
        </w:rPr>
      </w:pPr>
    </w:p>
    <w:p w14:paraId="2C30DDA3" w14:textId="2A065788" w:rsidR="00EB2EE1" w:rsidRDefault="00EB2EE1" w:rsidP="00B910B6">
      <w:pPr>
        <w:spacing w:after="0"/>
        <w:jc w:val="center"/>
        <w:rPr>
          <w:sz w:val="20"/>
          <w:szCs w:val="20"/>
        </w:rPr>
      </w:pPr>
    </w:p>
    <w:p w14:paraId="5058B893" w14:textId="76ADB3C5" w:rsidR="00EB2EE1" w:rsidRDefault="00EB2EE1" w:rsidP="00B910B6">
      <w:pPr>
        <w:spacing w:after="0"/>
        <w:jc w:val="center"/>
        <w:rPr>
          <w:sz w:val="20"/>
          <w:szCs w:val="20"/>
        </w:rPr>
      </w:pPr>
    </w:p>
    <w:p w14:paraId="00D67AA4" w14:textId="3F2B929C" w:rsidR="00EB2EE1" w:rsidRDefault="00EB2EE1" w:rsidP="00B910B6">
      <w:pPr>
        <w:spacing w:after="0"/>
        <w:jc w:val="center"/>
        <w:rPr>
          <w:sz w:val="20"/>
          <w:szCs w:val="20"/>
        </w:rPr>
      </w:pPr>
    </w:p>
    <w:p w14:paraId="05A44AE3" w14:textId="0AD987BD" w:rsidR="00EB2EE1" w:rsidRDefault="00EB2EE1" w:rsidP="00B910B6">
      <w:pPr>
        <w:spacing w:after="0"/>
        <w:jc w:val="center"/>
        <w:rPr>
          <w:sz w:val="20"/>
          <w:szCs w:val="20"/>
        </w:rPr>
      </w:pPr>
    </w:p>
    <w:p w14:paraId="563903A6" w14:textId="644DD4AA" w:rsidR="00EB2EE1" w:rsidRDefault="00EB2EE1" w:rsidP="00B910B6">
      <w:pPr>
        <w:spacing w:after="0"/>
        <w:jc w:val="center"/>
        <w:rPr>
          <w:sz w:val="20"/>
          <w:szCs w:val="20"/>
        </w:rPr>
      </w:pPr>
    </w:p>
    <w:p w14:paraId="18E4640A" w14:textId="0CDE84CA" w:rsidR="00EB2EE1" w:rsidRDefault="00EB2EE1" w:rsidP="00B910B6">
      <w:pPr>
        <w:spacing w:after="0"/>
        <w:jc w:val="center"/>
        <w:rPr>
          <w:sz w:val="20"/>
          <w:szCs w:val="20"/>
        </w:rPr>
      </w:pPr>
    </w:p>
    <w:p w14:paraId="4F98F2DA" w14:textId="39A97B40" w:rsidR="00EB2EE1" w:rsidRDefault="00EB2EE1" w:rsidP="00B910B6">
      <w:pPr>
        <w:spacing w:after="0"/>
        <w:jc w:val="center"/>
        <w:rPr>
          <w:sz w:val="20"/>
          <w:szCs w:val="20"/>
        </w:rPr>
      </w:pPr>
    </w:p>
    <w:p w14:paraId="35EA08DD" w14:textId="6E62CC1E" w:rsidR="00EB2EE1" w:rsidRDefault="00EB2EE1" w:rsidP="00B910B6">
      <w:pPr>
        <w:spacing w:after="0"/>
        <w:jc w:val="center"/>
        <w:rPr>
          <w:sz w:val="20"/>
          <w:szCs w:val="20"/>
        </w:rPr>
      </w:pPr>
    </w:p>
    <w:p w14:paraId="5F3D7FD3" w14:textId="555DB544" w:rsidR="00EB2EE1" w:rsidRDefault="00EB2EE1" w:rsidP="00B910B6">
      <w:pPr>
        <w:spacing w:after="0"/>
        <w:jc w:val="center"/>
        <w:rPr>
          <w:sz w:val="20"/>
          <w:szCs w:val="20"/>
        </w:rPr>
      </w:pPr>
    </w:p>
    <w:p w14:paraId="06FFD5F6" w14:textId="1FBFF332" w:rsidR="00EB2EE1" w:rsidRDefault="00EB2EE1" w:rsidP="00B910B6">
      <w:pPr>
        <w:spacing w:after="0"/>
        <w:jc w:val="center"/>
        <w:rPr>
          <w:sz w:val="20"/>
          <w:szCs w:val="20"/>
        </w:rPr>
      </w:pPr>
    </w:p>
    <w:p w14:paraId="21E17AD1" w14:textId="6231597F" w:rsidR="00EB2EE1" w:rsidRDefault="00EB2EE1" w:rsidP="00B910B6">
      <w:pPr>
        <w:spacing w:after="0"/>
        <w:jc w:val="center"/>
        <w:rPr>
          <w:sz w:val="20"/>
          <w:szCs w:val="20"/>
        </w:rPr>
      </w:pPr>
    </w:p>
    <w:p w14:paraId="1A435879" w14:textId="24A5CCAF" w:rsidR="00EB2EE1" w:rsidRDefault="00EB2EE1" w:rsidP="00B910B6">
      <w:pPr>
        <w:spacing w:after="0"/>
        <w:jc w:val="center"/>
        <w:rPr>
          <w:sz w:val="20"/>
          <w:szCs w:val="20"/>
        </w:rPr>
      </w:pPr>
    </w:p>
    <w:p w14:paraId="07AA2E4B" w14:textId="26BEA91F" w:rsidR="00EB2EE1" w:rsidRDefault="00EB2EE1" w:rsidP="00B910B6">
      <w:pPr>
        <w:spacing w:after="0"/>
        <w:jc w:val="center"/>
        <w:rPr>
          <w:sz w:val="20"/>
          <w:szCs w:val="20"/>
        </w:rPr>
      </w:pPr>
    </w:p>
    <w:p w14:paraId="7B6AD4BD" w14:textId="4C7045A1" w:rsidR="00EB2EE1" w:rsidRDefault="00EB2EE1" w:rsidP="00B910B6">
      <w:pPr>
        <w:spacing w:after="0"/>
        <w:jc w:val="center"/>
        <w:rPr>
          <w:sz w:val="20"/>
          <w:szCs w:val="20"/>
        </w:rPr>
      </w:pPr>
    </w:p>
    <w:p w14:paraId="0A2C0BC8" w14:textId="56CCA669" w:rsidR="00EB2EE1" w:rsidRDefault="00EB2EE1" w:rsidP="00B910B6">
      <w:pPr>
        <w:spacing w:after="0"/>
        <w:jc w:val="center"/>
        <w:rPr>
          <w:sz w:val="20"/>
          <w:szCs w:val="20"/>
        </w:rPr>
      </w:pPr>
    </w:p>
    <w:p w14:paraId="0418F12D" w14:textId="4BE8F575" w:rsidR="00EB2EE1" w:rsidRDefault="00EB2EE1" w:rsidP="00B910B6">
      <w:pPr>
        <w:spacing w:after="0"/>
        <w:jc w:val="center"/>
        <w:rPr>
          <w:sz w:val="20"/>
          <w:szCs w:val="20"/>
        </w:rPr>
      </w:pPr>
    </w:p>
    <w:p w14:paraId="431D667D" w14:textId="59F1B335" w:rsidR="00EB2EE1" w:rsidRDefault="00EB2EE1" w:rsidP="00B910B6">
      <w:pPr>
        <w:spacing w:after="0"/>
        <w:jc w:val="center"/>
        <w:rPr>
          <w:sz w:val="20"/>
          <w:szCs w:val="20"/>
        </w:rPr>
      </w:pPr>
    </w:p>
    <w:p w14:paraId="2874E461" w14:textId="276A14D6" w:rsidR="00EB2EE1" w:rsidRDefault="00EB2EE1" w:rsidP="00B910B6">
      <w:pPr>
        <w:spacing w:after="0"/>
        <w:jc w:val="center"/>
        <w:rPr>
          <w:sz w:val="20"/>
          <w:szCs w:val="20"/>
        </w:rPr>
      </w:pPr>
    </w:p>
    <w:p w14:paraId="0888C255" w14:textId="77777777" w:rsidR="00EB2EE1" w:rsidRPr="00B910B6" w:rsidRDefault="00EB2EE1" w:rsidP="00B910B6">
      <w:pPr>
        <w:spacing w:after="0"/>
        <w:jc w:val="center"/>
        <w:rPr>
          <w:sz w:val="20"/>
          <w:szCs w:val="20"/>
        </w:rPr>
      </w:pPr>
    </w:p>
    <w:p w14:paraId="5F3F5234" w14:textId="23BA5CEC" w:rsidR="00EC55E9" w:rsidRPr="00B910B6" w:rsidRDefault="00EB2EE1" w:rsidP="00B910B6">
      <w:pPr>
        <w:spacing w:after="0"/>
        <w:jc w:val="center"/>
        <w:rPr>
          <w:sz w:val="20"/>
          <w:szCs w:val="20"/>
        </w:rPr>
      </w:pPr>
      <w:r w:rsidRPr="00EB2EE1">
        <w:rPr>
          <w:noProof/>
        </w:rPr>
        <w:drawing>
          <wp:inline distT="0" distB="0" distL="0" distR="0" wp14:anchorId="7E62EFBD" wp14:editId="2515D187">
            <wp:extent cx="6391275" cy="6256655"/>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6256655"/>
                    </a:xfrm>
                    <a:prstGeom prst="rect">
                      <a:avLst/>
                    </a:prstGeom>
                    <a:noFill/>
                    <a:ln>
                      <a:noFill/>
                    </a:ln>
                  </pic:spPr>
                </pic:pic>
              </a:graphicData>
            </a:graphic>
          </wp:inline>
        </w:drawing>
      </w:r>
    </w:p>
    <w:p w14:paraId="5CEE9335" w14:textId="78AEED57" w:rsidR="00EF6E69" w:rsidRPr="00B910B6" w:rsidRDefault="00EF6E69" w:rsidP="00B910B6">
      <w:pPr>
        <w:spacing w:after="0"/>
        <w:jc w:val="center"/>
        <w:rPr>
          <w:sz w:val="20"/>
          <w:szCs w:val="20"/>
        </w:rPr>
      </w:pPr>
    </w:p>
    <w:p w14:paraId="37EB5520" w14:textId="58A7CF65" w:rsidR="000208B9" w:rsidRPr="00B910B6" w:rsidRDefault="000208B9" w:rsidP="00B910B6">
      <w:pPr>
        <w:spacing w:after="0"/>
        <w:jc w:val="center"/>
        <w:rPr>
          <w:sz w:val="20"/>
          <w:szCs w:val="20"/>
        </w:rPr>
      </w:pPr>
    </w:p>
    <w:p w14:paraId="3A5F930E" w14:textId="1891C84B" w:rsidR="00EC55E9" w:rsidRPr="00B910B6" w:rsidRDefault="00EC55E9" w:rsidP="00B910B6">
      <w:pPr>
        <w:spacing w:after="0"/>
        <w:jc w:val="right"/>
        <w:rPr>
          <w:sz w:val="20"/>
          <w:szCs w:val="20"/>
        </w:rPr>
      </w:pPr>
    </w:p>
    <w:p w14:paraId="2BBD9859" w14:textId="27EB74B3" w:rsidR="000208B9" w:rsidRPr="003820B7" w:rsidRDefault="003820B7" w:rsidP="003820B7">
      <w:pPr>
        <w:spacing w:after="0"/>
        <w:rPr>
          <w:sz w:val="20"/>
          <w:szCs w:val="20"/>
        </w:rPr>
      </w:pPr>
      <w:r w:rsidRPr="003820B7">
        <w:rPr>
          <w:b/>
          <w:bCs/>
          <w:sz w:val="20"/>
          <w:szCs w:val="20"/>
        </w:rPr>
        <w:t>Nota: Mantenimientos enunciativos mas no limitativos.</w:t>
      </w:r>
      <w:r w:rsidR="000208B9" w:rsidRPr="003820B7">
        <w:rPr>
          <w:sz w:val="20"/>
          <w:szCs w:val="20"/>
        </w:rPr>
        <w:br w:type="page"/>
      </w:r>
    </w:p>
    <w:p w14:paraId="3866D35B" w14:textId="3E548699" w:rsidR="003F137A" w:rsidRPr="00B910B6" w:rsidRDefault="003F137A" w:rsidP="00B910B6">
      <w:pPr>
        <w:tabs>
          <w:tab w:val="left" w:pos="6191"/>
          <w:tab w:val="left" w:pos="6584"/>
        </w:tabs>
        <w:spacing w:after="0"/>
        <w:jc w:val="both"/>
        <w:rPr>
          <w:sz w:val="20"/>
          <w:szCs w:val="20"/>
        </w:rPr>
      </w:pPr>
      <w:r w:rsidRPr="008E4A0F">
        <w:rPr>
          <w:noProof/>
        </w:rPr>
        <w:lastRenderedPageBreak/>
        <w:drawing>
          <wp:anchor distT="0" distB="0" distL="114300" distR="114300" simplePos="0" relativeHeight="251658240" behindDoc="0" locked="0" layoutInCell="1" allowOverlap="1" wp14:anchorId="7EFB9FC7" wp14:editId="510AE149">
            <wp:simplePos x="723900" y="1990725"/>
            <wp:positionH relativeFrom="column">
              <wp:align>left</wp:align>
            </wp:positionH>
            <wp:positionV relativeFrom="paragraph">
              <wp:align>top</wp:align>
            </wp:positionV>
            <wp:extent cx="6001973" cy="7658956"/>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1973" cy="7658956"/>
                    </a:xfrm>
                    <a:prstGeom prst="rect">
                      <a:avLst/>
                    </a:prstGeom>
                    <a:noFill/>
                    <a:ln>
                      <a:noFill/>
                    </a:ln>
                  </pic:spPr>
                </pic:pic>
              </a:graphicData>
            </a:graphic>
          </wp:anchor>
        </w:drawing>
      </w:r>
      <w:r>
        <w:rPr>
          <w:sz w:val="20"/>
          <w:szCs w:val="20"/>
        </w:rPr>
        <w:br w:type="textWrapping" w:clear="all"/>
      </w:r>
      <w:r w:rsidRPr="003E1B7C">
        <w:rPr>
          <w:noProof/>
        </w:rPr>
        <w:lastRenderedPageBreak/>
        <w:drawing>
          <wp:inline distT="0" distB="0" distL="0" distR="0" wp14:anchorId="4BBC7D83" wp14:editId="1927F3F1">
            <wp:extent cx="6332220" cy="43370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4337050"/>
                    </a:xfrm>
                    <a:prstGeom prst="rect">
                      <a:avLst/>
                    </a:prstGeom>
                    <a:noFill/>
                    <a:ln>
                      <a:noFill/>
                    </a:ln>
                  </pic:spPr>
                </pic:pic>
              </a:graphicData>
            </a:graphic>
          </wp:inline>
        </w:drawing>
      </w:r>
    </w:p>
    <w:sectPr w:rsidR="003F137A" w:rsidRPr="00B910B6" w:rsidSect="00F422C6">
      <w:headerReference w:type="default" r:id="rId13"/>
      <w:footerReference w:type="default" r:id="rId14"/>
      <w:pgSz w:w="12240" w:h="15840" w:code="1"/>
      <w:pgMar w:top="1134" w:right="1041" w:bottom="993" w:left="1134" w:header="56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FC4B" w14:textId="77777777" w:rsidR="00250391" w:rsidRDefault="00250391" w:rsidP="0030733C">
      <w:pPr>
        <w:spacing w:after="0"/>
      </w:pPr>
      <w:r>
        <w:separator/>
      </w:r>
    </w:p>
  </w:endnote>
  <w:endnote w:type="continuationSeparator" w:id="0">
    <w:p w14:paraId="6664158D" w14:textId="77777777" w:rsidR="00250391" w:rsidRDefault="00250391" w:rsidP="00307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i/>
        <w:sz w:val="16"/>
        <w:szCs w:val="16"/>
      </w:rPr>
      <w:id w:val="1581945989"/>
      <w:docPartObj>
        <w:docPartGallery w:val="Page Numbers (Bottom of Page)"/>
        <w:docPartUnique/>
      </w:docPartObj>
    </w:sdtPr>
    <w:sdtEndPr>
      <w:rPr>
        <w:i w:val="0"/>
        <w:iCs/>
        <w:sz w:val="14"/>
        <w:szCs w:val="14"/>
      </w:rPr>
    </w:sdtEndPr>
    <w:sdtContent>
      <w:sdt>
        <w:sdtPr>
          <w:rPr>
            <w:rFonts w:ascii="Calibri" w:hAnsi="Calibri" w:cs="Calibri"/>
            <w:i/>
            <w:sz w:val="16"/>
            <w:szCs w:val="16"/>
          </w:rPr>
          <w:id w:val="451211531"/>
          <w:docPartObj>
            <w:docPartGallery w:val="Page Numbers (Top of Page)"/>
            <w:docPartUnique/>
          </w:docPartObj>
        </w:sdtPr>
        <w:sdtEndPr>
          <w:rPr>
            <w:i w:val="0"/>
            <w:iCs/>
            <w:sz w:val="14"/>
            <w:szCs w:val="14"/>
          </w:rPr>
        </w:sdtEndPr>
        <w:sdtContent>
          <w:p w14:paraId="6A118B1C" w14:textId="58577C4F" w:rsidR="007947BC" w:rsidRPr="00206741" w:rsidRDefault="007947BC" w:rsidP="0036056F">
            <w:pPr>
              <w:pStyle w:val="Piedepgina"/>
              <w:jc w:val="center"/>
              <w:rPr>
                <w:rFonts w:ascii="Calibri" w:hAnsi="Calibri" w:cs="Calibri"/>
                <w:iCs/>
                <w:sz w:val="14"/>
                <w:szCs w:val="14"/>
              </w:rPr>
            </w:pPr>
            <w:r w:rsidRPr="00206741">
              <w:rPr>
                <w:rFonts w:ascii="Calibri" w:hAnsi="Calibri" w:cs="Calibri"/>
                <w:bCs/>
                <w:iCs/>
                <w:sz w:val="16"/>
                <w:szCs w:val="16"/>
              </w:rPr>
              <w:fldChar w:fldCharType="begin"/>
            </w:r>
            <w:r w:rsidRPr="00206741">
              <w:rPr>
                <w:rFonts w:ascii="Calibri" w:hAnsi="Calibri" w:cs="Calibri"/>
                <w:bCs/>
                <w:iCs/>
                <w:sz w:val="16"/>
                <w:szCs w:val="16"/>
              </w:rPr>
              <w:instrText>PAGE</w:instrText>
            </w:r>
            <w:r w:rsidRPr="00206741">
              <w:rPr>
                <w:rFonts w:ascii="Calibri" w:hAnsi="Calibri" w:cs="Calibri"/>
                <w:bCs/>
                <w:iCs/>
                <w:sz w:val="16"/>
                <w:szCs w:val="16"/>
              </w:rPr>
              <w:fldChar w:fldCharType="separate"/>
            </w:r>
            <w:r w:rsidRPr="00206741">
              <w:rPr>
                <w:rFonts w:ascii="Calibri" w:hAnsi="Calibri" w:cs="Calibri"/>
                <w:bCs/>
                <w:iCs/>
                <w:noProof/>
                <w:sz w:val="16"/>
                <w:szCs w:val="16"/>
              </w:rPr>
              <w:t>19</w:t>
            </w:r>
            <w:r w:rsidRPr="00206741">
              <w:rPr>
                <w:rFonts w:ascii="Calibri" w:hAnsi="Calibri" w:cs="Calibri"/>
                <w:bCs/>
                <w:iCs/>
                <w:sz w:val="16"/>
                <w:szCs w:val="16"/>
              </w:rPr>
              <w:fldChar w:fldCharType="end"/>
            </w:r>
            <w:r w:rsidRPr="00206741">
              <w:rPr>
                <w:rFonts w:ascii="Calibri" w:hAnsi="Calibri" w:cs="Calibri"/>
                <w:iCs/>
                <w:sz w:val="16"/>
                <w:szCs w:val="16"/>
                <w:lang w:val="es-ES"/>
              </w:rPr>
              <w:t xml:space="preserve"> de </w:t>
            </w:r>
            <w:r w:rsidRPr="00206741">
              <w:rPr>
                <w:rFonts w:ascii="Calibri" w:hAnsi="Calibri" w:cs="Calibri"/>
                <w:bCs/>
                <w:iCs/>
                <w:sz w:val="16"/>
                <w:szCs w:val="16"/>
              </w:rPr>
              <w:fldChar w:fldCharType="begin"/>
            </w:r>
            <w:r w:rsidRPr="00206741">
              <w:rPr>
                <w:rFonts w:ascii="Calibri" w:hAnsi="Calibri" w:cs="Calibri"/>
                <w:bCs/>
                <w:iCs/>
                <w:sz w:val="16"/>
                <w:szCs w:val="16"/>
              </w:rPr>
              <w:instrText>NUMPAGES</w:instrText>
            </w:r>
            <w:r w:rsidRPr="00206741">
              <w:rPr>
                <w:rFonts w:ascii="Calibri" w:hAnsi="Calibri" w:cs="Calibri"/>
                <w:bCs/>
                <w:iCs/>
                <w:sz w:val="16"/>
                <w:szCs w:val="16"/>
              </w:rPr>
              <w:fldChar w:fldCharType="separate"/>
            </w:r>
            <w:r w:rsidRPr="00206741">
              <w:rPr>
                <w:rFonts w:ascii="Calibri" w:hAnsi="Calibri" w:cs="Calibri"/>
                <w:bCs/>
                <w:iCs/>
                <w:noProof/>
                <w:sz w:val="16"/>
                <w:szCs w:val="16"/>
              </w:rPr>
              <w:t>19</w:t>
            </w:r>
            <w:r w:rsidRPr="00206741">
              <w:rPr>
                <w:rFonts w:ascii="Calibri" w:hAnsi="Calibri" w:cs="Calibri"/>
                <w:bCs/>
                <w:i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A0DB" w14:textId="77777777" w:rsidR="00250391" w:rsidRDefault="00250391" w:rsidP="0030733C">
      <w:pPr>
        <w:spacing w:after="0"/>
      </w:pPr>
      <w:r>
        <w:separator/>
      </w:r>
    </w:p>
  </w:footnote>
  <w:footnote w:type="continuationSeparator" w:id="0">
    <w:p w14:paraId="67EE9D8C" w14:textId="77777777" w:rsidR="00250391" w:rsidRDefault="00250391" w:rsidP="003073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2BA8" w14:textId="4C02D381" w:rsidR="007947BC" w:rsidRPr="00583377" w:rsidRDefault="007947BC" w:rsidP="00C674E9">
    <w:pPr>
      <w:pStyle w:val="Encabezado"/>
      <w:jc w:val="center"/>
      <w:rPr>
        <w:b/>
        <w:bCs/>
        <w:noProof/>
        <w:sz w:val="20"/>
        <w:szCs w:val="20"/>
      </w:rPr>
    </w:pPr>
    <w:r w:rsidRPr="005D11DB">
      <w:rPr>
        <w:noProof/>
      </w:rPr>
      <w:drawing>
        <wp:anchor distT="0" distB="0" distL="114300" distR="114300" simplePos="0" relativeHeight="251661312" behindDoc="1" locked="0" layoutInCell="1" allowOverlap="1" wp14:anchorId="4D38A904" wp14:editId="7777E673">
          <wp:simplePos x="0" y="0"/>
          <wp:positionH relativeFrom="column">
            <wp:posOffset>46659</wp:posOffset>
          </wp:positionH>
          <wp:positionV relativeFrom="paragraph">
            <wp:posOffset>-3175</wp:posOffset>
          </wp:positionV>
          <wp:extent cx="780753" cy="677112"/>
          <wp:effectExtent l="0" t="0" r="63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imbolo.jpg"/>
                  <pic:cNvPicPr/>
                </pic:nvPicPr>
                <pic:blipFill>
                  <a:blip r:embed="rId1"/>
                  <a:stretch>
                    <a:fillRect/>
                  </a:stretch>
                </pic:blipFill>
                <pic:spPr>
                  <a:xfrm>
                    <a:off x="0" y="0"/>
                    <a:ext cx="780753" cy="677112"/>
                  </a:xfrm>
                  <a:prstGeom prst="rect">
                    <a:avLst/>
                  </a:prstGeom>
                </pic:spPr>
              </pic:pic>
            </a:graphicData>
          </a:graphic>
          <wp14:sizeRelH relativeFrom="page">
            <wp14:pctWidth>0</wp14:pctWidth>
          </wp14:sizeRelH>
          <wp14:sizeRelV relativeFrom="page">
            <wp14:pctHeight>0</wp14:pctHeight>
          </wp14:sizeRelV>
        </wp:anchor>
      </w:drawing>
    </w:r>
    <w:r w:rsidRPr="005D11DB">
      <w:rPr>
        <w:b/>
      </w:rPr>
      <w:t>TRIBUNAL ELECTORAL DEL PODER JUDICIAL DE LA FEDERACIÓN</w:t>
    </w:r>
    <w:r w:rsidRPr="00761378">
      <w:rPr>
        <w:b/>
      </w:rPr>
      <w:br/>
    </w:r>
    <w:r w:rsidR="00583377" w:rsidRPr="00583377">
      <w:rPr>
        <w:b/>
        <w:bCs/>
        <w:noProof/>
        <w:sz w:val="20"/>
        <w:szCs w:val="20"/>
      </w:rPr>
      <w:t>DELEGACIÓN ADMINISTRATIVA</w:t>
    </w:r>
    <w:r w:rsidRPr="00583377">
      <w:rPr>
        <w:b/>
        <w:bCs/>
        <w:noProof/>
        <w:sz w:val="20"/>
        <w:szCs w:val="20"/>
      </w:rPr>
      <w:t xml:space="preserve"> </w:t>
    </w:r>
  </w:p>
  <w:p w14:paraId="5027AEEB" w14:textId="72A7F450" w:rsidR="00FA7868" w:rsidRPr="00FA7868" w:rsidRDefault="00FA7868" w:rsidP="00FA7868">
    <w:pPr>
      <w:pStyle w:val="Encabezado"/>
      <w:jc w:val="center"/>
      <w:rPr>
        <w:b/>
        <w:bCs/>
        <w:noProof/>
        <w:sz w:val="20"/>
        <w:szCs w:val="20"/>
      </w:rPr>
    </w:pPr>
    <w:r w:rsidRPr="00FA7868">
      <w:rPr>
        <w:b/>
        <w:bCs/>
        <w:noProof/>
        <w:sz w:val="20"/>
        <w:szCs w:val="20"/>
      </w:rPr>
      <w:t>SALA REGIONAL TOLUCA</w:t>
    </w:r>
  </w:p>
  <w:p w14:paraId="4D9311E6" w14:textId="77777777" w:rsidR="007947BC" w:rsidRDefault="007947BC" w:rsidP="00C674E9">
    <w:pPr>
      <w:tabs>
        <w:tab w:val="left" w:pos="3114"/>
      </w:tabs>
      <w:spacing w:after="0"/>
      <w:jc w:val="center"/>
      <w:rPr>
        <w:b/>
        <w:sz w:val="20"/>
        <w:u w:val="single"/>
      </w:rPr>
    </w:pPr>
  </w:p>
  <w:p w14:paraId="68B4B594" w14:textId="405689AD" w:rsidR="007947BC" w:rsidRDefault="007947BC" w:rsidP="00C674E9">
    <w:pPr>
      <w:tabs>
        <w:tab w:val="left" w:pos="3114"/>
      </w:tabs>
      <w:spacing w:after="0"/>
      <w:jc w:val="center"/>
      <w:rPr>
        <w:b/>
        <w:sz w:val="20"/>
        <w:u w:val="single"/>
      </w:rPr>
    </w:pPr>
    <w:r w:rsidRPr="00A90BB2">
      <w:rPr>
        <w:b/>
        <w:sz w:val="20"/>
        <w:u w:val="single"/>
      </w:rPr>
      <w:t>ANEXO TÉCNICO</w:t>
    </w:r>
    <w:r w:rsidR="00A163C1">
      <w:rPr>
        <w:b/>
        <w:sz w:val="20"/>
        <w:u w:val="single"/>
      </w:rPr>
      <w:t xml:space="preserve"> 2024</w:t>
    </w:r>
  </w:p>
  <w:p w14:paraId="5B4A5006" w14:textId="77777777" w:rsidR="007947BC" w:rsidRPr="00A90BB2" w:rsidRDefault="007947BC" w:rsidP="00C674E9">
    <w:pPr>
      <w:tabs>
        <w:tab w:val="left" w:pos="3114"/>
      </w:tabs>
      <w:spacing w:after="0"/>
      <w:jc w:val="center"/>
      <w:rPr>
        <w:b/>
        <w:sz w:val="20"/>
        <w:u w:val="single"/>
      </w:rPr>
    </w:pPr>
  </w:p>
  <w:p w14:paraId="434A82F5" w14:textId="2C2CDCD0" w:rsidR="007947BC" w:rsidRDefault="007947BC" w:rsidP="00C674E9">
    <w:pPr>
      <w:spacing w:after="0"/>
      <w:jc w:val="center"/>
      <w:rPr>
        <w:rFonts w:asciiTheme="minorHAnsi" w:hAnsiTheme="minorHAnsi" w:cstheme="minorHAnsi"/>
        <w:b/>
        <w:sz w:val="19"/>
        <w:szCs w:val="19"/>
      </w:rPr>
    </w:pPr>
    <w:r w:rsidRPr="00F422C6">
      <w:rPr>
        <w:rFonts w:asciiTheme="minorHAnsi" w:hAnsiTheme="minorHAnsi" w:cstheme="minorHAnsi"/>
        <w:b/>
        <w:sz w:val="19"/>
        <w:szCs w:val="19"/>
      </w:rPr>
      <w:t>SERVICIO DE MANTENIMIENTO PREVENTIVO Y/O CORRECTIVO A LA SUBESTACI</w:t>
    </w:r>
    <w:r>
      <w:rPr>
        <w:rFonts w:asciiTheme="minorHAnsi" w:hAnsiTheme="minorHAnsi" w:cstheme="minorHAnsi"/>
        <w:b/>
        <w:sz w:val="19"/>
        <w:szCs w:val="19"/>
      </w:rPr>
      <w:t>Ó</w:t>
    </w:r>
    <w:r w:rsidRPr="00F422C6">
      <w:rPr>
        <w:rFonts w:asciiTheme="minorHAnsi" w:hAnsiTheme="minorHAnsi" w:cstheme="minorHAnsi"/>
        <w:b/>
        <w:sz w:val="19"/>
        <w:szCs w:val="19"/>
      </w:rPr>
      <w:t>N ELÉCTRICA</w:t>
    </w:r>
    <w:r w:rsidR="00307ED7">
      <w:rPr>
        <w:rFonts w:asciiTheme="minorHAnsi" w:hAnsiTheme="minorHAnsi" w:cstheme="minorHAnsi"/>
        <w:b/>
        <w:sz w:val="19"/>
        <w:szCs w:val="19"/>
      </w:rPr>
      <w:t xml:space="preserve"> Y PLANTA DE EMERGENCIA</w:t>
    </w:r>
    <w:r w:rsidRPr="00F422C6">
      <w:rPr>
        <w:rFonts w:asciiTheme="minorHAnsi" w:hAnsiTheme="minorHAnsi" w:cstheme="minorHAnsi"/>
        <w:b/>
        <w:sz w:val="19"/>
        <w:szCs w:val="19"/>
      </w:rPr>
      <w:t xml:space="preserve"> INSTALADA</w:t>
    </w:r>
    <w:r w:rsidR="00A163C1">
      <w:rPr>
        <w:rFonts w:asciiTheme="minorHAnsi" w:hAnsiTheme="minorHAnsi" w:cstheme="minorHAnsi"/>
        <w:b/>
        <w:sz w:val="19"/>
        <w:szCs w:val="19"/>
      </w:rPr>
      <w:t>S</w:t>
    </w:r>
    <w:r w:rsidRPr="00F422C6">
      <w:rPr>
        <w:rFonts w:asciiTheme="minorHAnsi" w:hAnsiTheme="minorHAnsi" w:cstheme="minorHAnsi"/>
        <w:b/>
        <w:sz w:val="19"/>
        <w:szCs w:val="19"/>
      </w:rPr>
      <w:t xml:space="preserve"> EN </w:t>
    </w:r>
    <w:r>
      <w:rPr>
        <w:rFonts w:asciiTheme="minorHAnsi" w:hAnsiTheme="minorHAnsi" w:cstheme="minorHAnsi"/>
        <w:b/>
        <w:sz w:val="19"/>
        <w:szCs w:val="19"/>
      </w:rPr>
      <w:t>EL</w:t>
    </w:r>
    <w:r w:rsidRPr="00F422C6">
      <w:rPr>
        <w:rFonts w:asciiTheme="minorHAnsi" w:hAnsiTheme="minorHAnsi" w:cstheme="minorHAnsi"/>
        <w:b/>
        <w:sz w:val="19"/>
        <w:szCs w:val="19"/>
      </w:rPr>
      <w:t xml:space="preserve"> INMUEBLE PERTENECIENTES A LA SALA </w:t>
    </w:r>
    <w:r>
      <w:rPr>
        <w:rFonts w:asciiTheme="minorHAnsi" w:hAnsiTheme="minorHAnsi" w:cstheme="minorHAnsi"/>
        <w:b/>
        <w:sz w:val="19"/>
        <w:szCs w:val="19"/>
      </w:rPr>
      <w:t>REGIONAL TOLUCA</w:t>
    </w:r>
    <w:r w:rsidRPr="00F422C6">
      <w:rPr>
        <w:rFonts w:asciiTheme="minorHAnsi" w:hAnsiTheme="minorHAnsi" w:cstheme="minorHAnsi"/>
        <w:b/>
        <w:sz w:val="19"/>
        <w:szCs w:val="19"/>
      </w:rPr>
      <w:t xml:space="preserve"> DEL TRIBUNAL ELECTORAL DEL PODER JUDICIAL DE LA FEDERACIÓN</w:t>
    </w:r>
  </w:p>
  <w:p w14:paraId="2C29BC6F" w14:textId="77777777" w:rsidR="007947BC" w:rsidRPr="00F422C6" w:rsidRDefault="007947BC" w:rsidP="00C674E9">
    <w:pPr>
      <w:spacing w:after="0"/>
      <w:jc w:val="center"/>
      <w:rPr>
        <w:rFonts w:asciiTheme="minorHAnsi" w:hAnsiTheme="minorHAnsi" w:cstheme="minorHAnsi"/>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90D"/>
    <w:multiLevelType w:val="hybridMultilevel"/>
    <w:tmpl w:val="E02A2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8320CB"/>
    <w:multiLevelType w:val="hybridMultilevel"/>
    <w:tmpl w:val="A1B894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01D1DC9"/>
    <w:multiLevelType w:val="hybridMultilevel"/>
    <w:tmpl w:val="E2C40BCE"/>
    <w:lvl w:ilvl="0" w:tplc="2F38DF7A">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050729"/>
    <w:multiLevelType w:val="hybridMultilevel"/>
    <w:tmpl w:val="24B0B836"/>
    <w:lvl w:ilvl="0" w:tplc="876A63A2">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D1064F"/>
    <w:multiLevelType w:val="hybridMultilevel"/>
    <w:tmpl w:val="EC2C0C3C"/>
    <w:lvl w:ilvl="0" w:tplc="9ED017FA">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960DB0"/>
    <w:multiLevelType w:val="hybridMultilevel"/>
    <w:tmpl w:val="42A88A12"/>
    <w:lvl w:ilvl="0" w:tplc="4C106ED8">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A23A0C"/>
    <w:multiLevelType w:val="hybridMultilevel"/>
    <w:tmpl w:val="60B0D2C0"/>
    <w:lvl w:ilvl="0" w:tplc="9ED017FA">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521D2C"/>
    <w:multiLevelType w:val="hybridMultilevel"/>
    <w:tmpl w:val="7248C126"/>
    <w:lvl w:ilvl="0" w:tplc="6FF2F7F8">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E80760"/>
    <w:multiLevelType w:val="hybridMultilevel"/>
    <w:tmpl w:val="5D562E56"/>
    <w:lvl w:ilvl="0" w:tplc="9ED017FA">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EE4F1E"/>
    <w:multiLevelType w:val="hybridMultilevel"/>
    <w:tmpl w:val="534ACD18"/>
    <w:lvl w:ilvl="0" w:tplc="C40C8276">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CA0CDF"/>
    <w:multiLevelType w:val="hybridMultilevel"/>
    <w:tmpl w:val="D7346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FB503F"/>
    <w:multiLevelType w:val="hybridMultilevel"/>
    <w:tmpl w:val="37C259CC"/>
    <w:lvl w:ilvl="0" w:tplc="5C16551A">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B77C3C"/>
    <w:multiLevelType w:val="hybridMultilevel"/>
    <w:tmpl w:val="ABBCB9C6"/>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13" w15:restartNumberingAfterBreak="0">
    <w:nsid w:val="78576544"/>
    <w:multiLevelType w:val="hybridMultilevel"/>
    <w:tmpl w:val="69427AB4"/>
    <w:lvl w:ilvl="0" w:tplc="9ED017FA">
      <w:start w:val="1"/>
      <w:numFmt w:val="bullet"/>
      <w:lvlText w:val=""/>
      <w:lvlJc w:val="left"/>
      <w:pPr>
        <w:ind w:left="720" w:hanging="360"/>
      </w:pPr>
      <w:rPr>
        <w:rFonts w:ascii="Wingdings" w:hAnsi="Wingdings"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4441A6"/>
    <w:multiLevelType w:val="hybridMultilevel"/>
    <w:tmpl w:val="67EA01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1"/>
  </w:num>
  <w:num w:numId="4">
    <w:abstractNumId w:val="14"/>
  </w:num>
  <w:num w:numId="5">
    <w:abstractNumId w:val="10"/>
  </w:num>
  <w:num w:numId="6">
    <w:abstractNumId w:val="9"/>
  </w:num>
  <w:num w:numId="7">
    <w:abstractNumId w:val="0"/>
  </w:num>
  <w:num w:numId="8">
    <w:abstractNumId w:val="2"/>
  </w:num>
  <w:num w:numId="9">
    <w:abstractNumId w:val="1"/>
  </w:num>
  <w:num w:numId="10">
    <w:abstractNumId w:val="12"/>
  </w:num>
  <w:num w:numId="11">
    <w:abstractNumId w:val="3"/>
  </w:num>
  <w:num w:numId="12">
    <w:abstractNumId w:val="4"/>
  </w:num>
  <w:num w:numId="13">
    <w:abstractNumId w:val="6"/>
  </w:num>
  <w:num w:numId="14">
    <w:abstractNumId w:val="8"/>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1B6"/>
    <w:rsid w:val="0000312E"/>
    <w:rsid w:val="0000397C"/>
    <w:rsid w:val="00003B6B"/>
    <w:rsid w:val="000208B9"/>
    <w:rsid w:val="00024622"/>
    <w:rsid w:val="000274E7"/>
    <w:rsid w:val="0003250A"/>
    <w:rsid w:val="00042049"/>
    <w:rsid w:val="00046DAE"/>
    <w:rsid w:val="00047E26"/>
    <w:rsid w:val="00054F12"/>
    <w:rsid w:val="00055956"/>
    <w:rsid w:val="00062C3D"/>
    <w:rsid w:val="00064225"/>
    <w:rsid w:val="00084E42"/>
    <w:rsid w:val="00090599"/>
    <w:rsid w:val="00091BD7"/>
    <w:rsid w:val="00092CE4"/>
    <w:rsid w:val="000B0F3D"/>
    <w:rsid w:val="000B1FEE"/>
    <w:rsid w:val="000B2DD1"/>
    <w:rsid w:val="000B3247"/>
    <w:rsid w:val="000B6559"/>
    <w:rsid w:val="000C2297"/>
    <w:rsid w:val="000C71A4"/>
    <w:rsid w:val="000E0F6B"/>
    <w:rsid w:val="000E2346"/>
    <w:rsid w:val="000E542D"/>
    <w:rsid w:val="000E6926"/>
    <w:rsid w:val="000F7AE4"/>
    <w:rsid w:val="00100078"/>
    <w:rsid w:val="00101DB8"/>
    <w:rsid w:val="00103728"/>
    <w:rsid w:val="00104682"/>
    <w:rsid w:val="00111B73"/>
    <w:rsid w:val="00120E33"/>
    <w:rsid w:val="001347D2"/>
    <w:rsid w:val="0014246A"/>
    <w:rsid w:val="00147642"/>
    <w:rsid w:val="00152383"/>
    <w:rsid w:val="0015505C"/>
    <w:rsid w:val="00161E6A"/>
    <w:rsid w:val="001631DC"/>
    <w:rsid w:val="00163880"/>
    <w:rsid w:val="00170C32"/>
    <w:rsid w:val="0017408A"/>
    <w:rsid w:val="00176736"/>
    <w:rsid w:val="00176D50"/>
    <w:rsid w:val="0018670F"/>
    <w:rsid w:val="00187687"/>
    <w:rsid w:val="00193852"/>
    <w:rsid w:val="00193F29"/>
    <w:rsid w:val="001970C8"/>
    <w:rsid w:val="001A00BF"/>
    <w:rsid w:val="001B3E15"/>
    <w:rsid w:val="001B3F4E"/>
    <w:rsid w:val="001B71A0"/>
    <w:rsid w:val="001D4AFA"/>
    <w:rsid w:val="001E2B30"/>
    <w:rsid w:val="001E6FCC"/>
    <w:rsid w:val="001F1B78"/>
    <w:rsid w:val="001F54B7"/>
    <w:rsid w:val="001F5B06"/>
    <w:rsid w:val="001F7618"/>
    <w:rsid w:val="001F7C32"/>
    <w:rsid w:val="00206741"/>
    <w:rsid w:val="002068B4"/>
    <w:rsid w:val="0022194C"/>
    <w:rsid w:val="002231E3"/>
    <w:rsid w:val="00224CF2"/>
    <w:rsid w:val="00226727"/>
    <w:rsid w:val="00230096"/>
    <w:rsid w:val="00236D2A"/>
    <w:rsid w:val="002417D8"/>
    <w:rsid w:val="002437E9"/>
    <w:rsid w:val="00244D42"/>
    <w:rsid w:val="002470F0"/>
    <w:rsid w:val="00250391"/>
    <w:rsid w:val="0025133B"/>
    <w:rsid w:val="00253098"/>
    <w:rsid w:val="002613FA"/>
    <w:rsid w:val="00270EC8"/>
    <w:rsid w:val="00273CF9"/>
    <w:rsid w:val="00275510"/>
    <w:rsid w:val="002761B6"/>
    <w:rsid w:val="0028005D"/>
    <w:rsid w:val="002A1C78"/>
    <w:rsid w:val="002A7F4E"/>
    <w:rsid w:val="002B5661"/>
    <w:rsid w:val="002C1B33"/>
    <w:rsid w:val="002C2078"/>
    <w:rsid w:val="002C5293"/>
    <w:rsid w:val="002C63C0"/>
    <w:rsid w:val="002C7EE6"/>
    <w:rsid w:val="002D3C49"/>
    <w:rsid w:val="002D6C7A"/>
    <w:rsid w:val="002F07B3"/>
    <w:rsid w:val="002F468A"/>
    <w:rsid w:val="002F59CB"/>
    <w:rsid w:val="002F5E0C"/>
    <w:rsid w:val="003014DE"/>
    <w:rsid w:val="00302F98"/>
    <w:rsid w:val="00306894"/>
    <w:rsid w:val="00306C2F"/>
    <w:rsid w:val="0030733C"/>
    <w:rsid w:val="00307ED7"/>
    <w:rsid w:val="00311024"/>
    <w:rsid w:val="00311FAA"/>
    <w:rsid w:val="00313B03"/>
    <w:rsid w:val="00322A82"/>
    <w:rsid w:val="0032368F"/>
    <w:rsid w:val="00331475"/>
    <w:rsid w:val="003322A0"/>
    <w:rsid w:val="00333AA5"/>
    <w:rsid w:val="003342DA"/>
    <w:rsid w:val="00335698"/>
    <w:rsid w:val="00337BEC"/>
    <w:rsid w:val="00342D24"/>
    <w:rsid w:val="003441C1"/>
    <w:rsid w:val="00346018"/>
    <w:rsid w:val="00356E48"/>
    <w:rsid w:val="0036056F"/>
    <w:rsid w:val="003633B9"/>
    <w:rsid w:val="003635A5"/>
    <w:rsid w:val="00364257"/>
    <w:rsid w:val="00364326"/>
    <w:rsid w:val="00364B43"/>
    <w:rsid w:val="003820B7"/>
    <w:rsid w:val="00382E4B"/>
    <w:rsid w:val="00383D6E"/>
    <w:rsid w:val="003916F2"/>
    <w:rsid w:val="003A5D72"/>
    <w:rsid w:val="003B04D4"/>
    <w:rsid w:val="003B0D0E"/>
    <w:rsid w:val="003B780F"/>
    <w:rsid w:val="003C01CD"/>
    <w:rsid w:val="003D5B80"/>
    <w:rsid w:val="003D6B2A"/>
    <w:rsid w:val="003D6FA5"/>
    <w:rsid w:val="003E5B3F"/>
    <w:rsid w:val="003E66C8"/>
    <w:rsid w:val="003E73F9"/>
    <w:rsid w:val="003E7412"/>
    <w:rsid w:val="003F137A"/>
    <w:rsid w:val="004024AA"/>
    <w:rsid w:val="004038B0"/>
    <w:rsid w:val="0040467C"/>
    <w:rsid w:val="00406710"/>
    <w:rsid w:val="00406C98"/>
    <w:rsid w:val="00412C1C"/>
    <w:rsid w:val="0041380F"/>
    <w:rsid w:val="00414424"/>
    <w:rsid w:val="00414FCE"/>
    <w:rsid w:val="0042295B"/>
    <w:rsid w:val="00427C35"/>
    <w:rsid w:val="00437025"/>
    <w:rsid w:val="00441695"/>
    <w:rsid w:val="004510BF"/>
    <w:rsid w:val="004512B2"/>
    <w:rsid w:val="00456BDA"/>
    <w:rsid w:val="00456DE6"/>
    <w:rsid w:val="00462A73"/>
    <w:rsid w:val="00464094"/>
    <w:rsid w:val="00467C01"/>
    <w:rsid w:val="00483DF6"/>
    <w:rsid w:val="004854F9"/>
    <w:rsid w:val="004864AF"/>
    <w:rsid w:val="00496C44"/>
    <w:rsid w:val="004B06EA"/>
    <w:rsid w:val="004B282B"/>
    <w:rsid w:val="004B3B01"/>
    <w:rsid w:val="004B48DC"/>
    <w:rsid w:val="004C2F47"/>
    <w:rsid w:val="004D35CD"/>
    <w:rsid w:val="004E1B4B"/>
    <w:rsid w:val="004E2DF8"/>
    <w:rsid w:val="004E4823"/>
    <w:rsid w:val="004E53A8"/>
    <w:rsid w:val="004E5C49"/>
    <w:rsid w:val="004E6908"/>
    <w:rsid w:val="004E6CA9"/>
    <w:rsid w:val="004F07BE"/>
    <w:rsid w:val="004F37A5"/>
    <w:rsid w:val="005066D1"/>
    <w:rsid w:val="005069C7"/>
    <w:rsid w:val="00507778"/>
    <w:rsid w:val="00515C48"/>
    <w:rsid w:val="0051747A"/>
    <w:rsid w:val="005247CB"/>
    <w:rsid w:val="0052679D"/>
    <w:rsid w:val="005325F3"/>
    <w:rsid w:val="005369C6"/>
    <w:rsid w:val="00543F8A"/>
    <w:rsid w:val="00552A18"/>
    <w:rsid w:val="00560F96"/>
    <w:rsid w:val="00562D36"/>
    <w:rsid w:val="005712FF"/>
    <w:rsid w:val="005759E0"/>
    <w:rsid w:val="00577784"/>
    <w:rsid w:val="00583377"/>
    <w:rsid w:val="00586DE3"/>
    <w:rsid w:val="005910EA"/>
    <w:rsid w:val="00597483"/>
    <w:rsid w:val="005979B0"/>
    <w:rsid w:val="005B7EA4"/>
    <w:rsid w:val="005C6D3E"/>
    <w:rsid w:val="005D1505"/>
    <w:rsid w:val="005D24FF"/>
    <w:rsid w:val="005D2CDA"/>
    <w:rsid w:val="005D3F69"/>
    <w:rsid w:val="005D6B23"/>
    <w:rsid w:val="005E0281"/>
    <w:rsid w:val="005E3E8A"/>
    <w:rsid w:val="005E496E"/>
    <w:rsid w:val="00600F97"/>
    <w:rsid w:val="006161BE"/>
    <w:rsid w:val="00616BAD"/>
    <w:rsid w:val="00617A6D"/>
    <w:rsid w:val="00624CB9"/>
    <w:rsid w:val="00627B4F"/>
    <w:rsid w:val="00633348"/>
    <w:rsid w:val="00642514"/>
    <w:rsid w:val="006475EC"/>
    <w:rsid w:val="006577ED"/>
    <w:rsid w:val="006611EB"/>
    <w:rsid w:val="00666262"/>
    <w:rsid w:val="00671301"/>
    <w:rsid w:val="0067367E"/>
    <w:rsid w:val="00676AAC"/>
    <w:rsid w:val="0067778F"/>
    <w:rsid w:val="006869BC"/>
    <w:rsid w:val="00686EA3"/>
    <w:rsid w:val="0069016C"/>
    <w:rsid w:val="0069372A"/>
    <w:rsid w:val="006A32E5"/>
    <w:rsid w:val="006A6973"/>
    <w:rsid w:val="006B175E"/>
    <w:rsid w:val="006B47D3"/>
    <w:rsid w:val="006B7EC3"/>
    <w:rsid w:val="006C3246"/>
    <w:rsid w:val="006C3B23"/>
    <w:rsid w:val="006C4EB5"/>
    <w:rsid w:val="006C75A0"/>
    <w:rsid w:val="006C77BB"/>
    <w:rsid w:val="006D259D"/>
    <w:rsid w:val="006D5853"/>
    <w:rsid w:val="006F14E3"/>
    <w:rsid w:val="006F4953"/>
    <w:rsid w:val="006F5527"/>
    <w:rsid w:val="00702821"/>
    <w:rsid w:val="00710B26"/>
    <w:rsid w:val="007224EC"/>
    <w:rsid w:val="00726820"/>
    <w:rsid w:val="00731485"/>
    <w:rsid w:val="00735A43"/>
    <w:rsid w:val="007360D9"/>
    <w:rsid w:val="00755D32"/>
    <w:rsid w:val="0076247E"/>
    <w:rsid w:val="00764C96"/>
    <w:rsid w:val="0077070D"/>
    <w:rsid w:val="00775E67"/>
    <w:rsid w:val="0078255C"/>
    <w:rsid w:val="0079032F"/>
    <w:rsid w:val="00792A54"/>
    <w:rsid w:val="007930FC"/>
    <w:rsid w:val="007947BC"/>
    <w:rsid w:val="007A1485"/>
    <w:rsid w:val="007A28DC"/>
    <w:rsid w:val="007A37CA"/>
    <w:rsid w:val="007B621F"/>
    <w:rsid w:val="007B6823"/>
    <w:rsid w:val="007C3D03"/>
    <w:rsid w:val="007C629A"/>
    <w:rsid w:val="007D5CFE"/>
    <w:rsid w:val="008030BE"/>
    <w:rsid w:val="00805E65"/>
    <w:rsid w:val="00806CBD"/>
    <w:rsid w:val="00813ED3"/>
    <w:rsid w:val="0081582D"/>
    <w:rsid w:val="00825359"/>
    <w:rsid w:val="008500FB"/>
    <w:rsid w:val="00854E61"/>
    <w:rsid w:val="00857B96"/>
    <w:rsid w:val="008645D7"/>
    <w:rsid w:val="00864EEE"/>
    <w:rsid w:val="008766B2"/>
    <w:rsid w:val="00876EB2"/>
    <w:rsid w:val="0088785F"/>
    <w:rsid w:val="00892F3A"/>
    <w:rsid w:val="00895E73"/>
    <w:rsid w:val="008A5205"/>
    <w:rsid w:val="008A683C"/>
    <w:rsid w:val="008B28B8"/>
    <w:rsid w:val="008B3934"/>
    <w:rsid w:val="008E4EA1"/>
    <w:rsid w:val="00906B16"/>
    <w:rsid w:val="00907AE7"/>
    <w:rsid w:val="00912880"/>
    <w:rsid w:val="00914AD6"/>
    <w:rsid w:val="009238B4"/>
    <w:rsid w:val="009258F6"/>
    <w:rsid w:val="0092678B"/>
    <w:rsid w:val="00927E3D"/>
    <w:rsid w:val="00930C76"/>
    <w:rsid w:val="00934BCE"/>
    <w:rsid w:val="00936448"/>
    <w:rsid w:val="009426FE"/>
    <w:rsid w:val="0095015A"/>
    <w:rsid w:val="00957E11"/>
    <w:rsid w:val="00973999"/>
    <w:rsid w:val="0097724C"/>
    <w:rsid w:val="00977FEE"/>
    <w:rsid w:val="00980BE3"/>
    <w:rsid w:val="00985CD8"/>
    <w:rsid w:val="009874CD"/>
    <w:rsid w:val="0099364D"/>
    <w:rsid w:val="009A062B"/>
    <w:rsid w:val="009B3D04"/>
    <w:rsid w:val="009B669C"/>
    <w:rsid w:val="009C5725"/>
    <w:rsid w:val="009D08E6"/>
    <w:rsid w:val="009D3783"/>
    <w:rsid w:val="009E33F5"/>
    <w:rsid w:val="009E6FDB"/>
    <w:rsid w:val="00A025D9"/>
    <w:rsid w:val="00A0469A"/>
    <w:rsid w:val="00A05DFC"/>
    <w:rsid w:val="00A06146"/>
    <w:rsid w:val="00A12195"/>
    <w:rsid w:val="00A163C1"/>
    <w:rsid w:val="00A21CBB"/>
    <w:rsid w:val="00A24619"/>
    <w:rsid w:val="00A3428B"/>
    <w:rsid w:val="00A43613"/>
    <w:rsid w:val="00A44A09"/>
    <w:rsid w:val="00A46BA6"/>
    <w:rsid w:val="00A50E5F"/>
    <w:rsid w:val="00A67CC5"/>
    <w:rsid w:val="00A720B8"/>
    <w:rsid w:val="00A7264F"/>
    <w:rsid w:val="00A72938"/>
    <w:rsid w:val="00A74BE7"/>
    <w:rsid w:val="00A83FCC"/>
    <w:rsid w:val="00A84499"/>
    <w:rsid w:val="00A863E3"/>
    <w:rsid w:val="00A90BB2"/>
    <w:rsid w:val="00A90E9C"/>
    <w:rsid w:val="00AA009D"/>
    <w:rsid w:val="00AA1736"/>
    <w:rsid w:val="00AB4F91"/>
    <w:rsid w:val="00AB6303"/>
    <w:rsid w:val="00AC1768"/>
    <w:rsid w:val="00AD23B8"/>
    <w:rsid w:val="00AD5737"/>
    <w:rsid w:val="00AD5B53"/>
    <w:rsid w:val="00AE678E"/>
    <w:rsid w:val="00AE7FA1"/>
    <w:rsid w:val="00AF0BD7"/>
    <w:rsid w:val="00B01B06"/>
    <w:rsid w:val="00B0429C"/>
    <w:rsid w:val="00B14422"/>
    <w:rsid w:val="00B14C9C"/>
    <w:rsid w:val="00B27873"/>
    <w:rsid w:val="00B335A9"/>
    <w:rsid w:val="00B35364"/>
    <w:rsid w:val="00B3539C"/>
    <w:rsid w:val="00B44857"/>
    <w:rsid w:val="00B448C7"/>
    <w:rsid w:val="00B53BB5"/>
    <w:rsid w:val="00B57B65"/>
    <w:rsid w:val="00B62E80"/>
    <w:rsid w:val="00B71807"/>
    <w:rsid w:val="00B724C5"/>
    <w:rsid w:val="00B73166"/>
    <w:rsid w:val="00B82C1D"/>
    <w:rsid w:val="00B872D3"/>
    <w:rsid w:val="00B910B6"/>
    <w:rsid w:val="00B94013"/>
    <w:rsid w:val="00B94D08"/>
    <w:rsid w:val="00BA4951"/>
    <w:rsid w:val="00BA4E31"/>
    <w:rsid w:val="00BB0284"/>
    <w:rsid w:val="00BB04EF"/>
    <w:rsid w:val="00BB6831"/>
    <w:rsid w:val="00BB6EBF"/>
    <w:rsid w:val="00BB77FD"/>
    <w:rsid w:val="00BC0F67"/>
    <w:rsid w:val="00BD67D7"/>
    <w:rsid w:val="00BD7300"/>
    <w:rsid w:val="00BE3006"/>
    <w:rsid w:val="00BE4FF2"/>
    <w:rsid w:val="00BE5E00"/>
    <w:rsid w:val="00BF456F"/>
    <w:rsid w:val="00BF63BE"/>
    <w:rsid w:val="00C00D09"/>
    <w:rsid w:val="00C17399"/>
    <w:rsid w:val="00C314BE"/>
    <w:rsid w:val="00C3252A"/>
    <w:rsid w:val="00C326CE"/>
    <w:rsid w:val="00C32A3F"/>
    <w:rsid w:val="00C400D1"/>
    <w:rsid w:val="00C52016"/>
    <w:rsid w:val="00C54869"/>
    <w:rsid w:val="00C57C92"/>
    <w:rsid w:val="00C674E9"/>
    <w:rsid w:val="00C729E5"/>
    <w:rsid w:val="00C734D2"/>
    <w:rsid w:val="00C75373"/>
    <w:rsid w:val="00C80A5C"/>
    <w:rsid w:val="00C83434"/>
    <w:rsid w:val="00C9455B"/>
    <w:rsid w:val="00CC74CE"/>
    <w:rsid w:val="00CD59E1"/>
    <w:rsid w:val="00CE14B9"/>
    <w:rsid w:val="00CF7066"/>
    <w:rsid w:val="00D01E7D"/>
    <w:rsid w:val="00D05E60"/>
    <w:rsid w:val="00D10FA7"/>
    <w:rsid w:val="00D15818"/>
    <w:rsid w:val="00D2258C"/>
    <w:rsid w:val="00D236B1"/>
    <w:rsid w:val="00D26965"/>
    <w:rsid w:val="00D301DF"/>
    <w:rsid w:val="00D30B92"/>
    <w:rsid w:val="00D30D6A"/>
    <w:rsid w:val="00D31942"/>
    <w:rsid w:val="00D34B36"/>
    <w:rsid w:val="00D3581B"/>
    <w:rsid w:val="00D42B06"/>
    <w:rsid w:val="00D435BD"/>
    <w:rsid w:val="00D46B6F"/>
    <w:rsid w:val="00D510B9"/>
    <w:rsid w:val="00D53368"/>
    <w:rsid w:val="00D61004"/>
    <w:rsid w:val="00D62285"/>
    <w:rsid w:val="00D62363"/>
    <w:rsid w:val="00D73A5E"/>
    <w:rsid w:val="00D83BE3"/>
    <w:rsid w:val="00D85D42"/>
    <w:rsid w:val="00DC64FA"/>
    <w:rsid w:val="00DC6577"/>
    <w:rsid w:val="00DC6867"/>
    <w:rsid w:val="00DC74AF"/>
    <w:rsid w:val="00DD05F7"/>
    <w:rsid w:val="00DD1429"/>
    <w:rsid w:val="00DD27AB"/>
    <w:rsid w:val="00DE280A"/>
    <w:rsid w:val="00DE2FA3"/>
    <w:rsid w:val="00DF3B87"/>
    <w:rsid w:val="00DF3CFD"/>
    <w:rsid w:val="00DF6930"/>
    <w:rsid w:val="00E02054"/>
    <w:rsid w:val="00E10153"/>
    <w:rsid w:val="00E101F1"/>
    <w:rsid w:val="00E20EB6"/>
    <w:rsid w:val="00E262C1"/>
    <w:rsid w:val="00E27A40"/>
    <w:rsid w:val="00E30472"/>
    <w:rsid w:val="00E328EE"/>
    <w:rsid w:val="00E34128"/>
    <w:rsid w:val="00E463C1"/>
    <w:rsid w:val="00E51266"/>
    <w:rsid w:val="00E54CD5"/>
    <w:rsid w:val="00E71B1E"/>
    <w:rsid w:val="00E80A74"/>
    <w:rsid w:val="00E81D06"/>
    <w:rsid w:val="00E90AF1"/>
    <w:rsid w:val="00EA5B23"/>
    <w:rsid w:val="00EA63EE"/>
    <w:rsid w:val="00EB2EE1"/>
    <w:rsid w:val="00EC0D61"/>
    <w:rsid w:val="00EC1AD0"/>
    <w:rsid w:val="00EC23C1"/>
    <w:rsid w:val="00EC348E"/>
    <w:rsid w:val="00EC55E9"/>
    <w:rsid w:val="00ED37CA"/>
    <w:rsid w:val="00ED6772"/>
    <w:rsid w:val="00EE4CDB"/>
    <w:rsid w:val="00EE7C08"/>
    <w:rsid w:val="00EF252C"/>
    <w:rsid w:val="00EF424A"/>
    <w:rsid w:val="00EF5CB0"/>
    <w:rsid w:val="00EF6E69"/>
    <w:rsid w:val="00F0105D"/>
    <w:rsid w:val="00F02CAC"/>
    <w:rsid w:val="00F04030"/>
    <w:rsid w:val="00F0639A"/>
    <w:rsid w:val="00F21B4F"/>
    <w:rsid w:val="00F26B6F"/>
    <w:rsid w:val="00F27B5C"/>
    <w:rsid w:val="00F30A96"/>
    <w:rsid w:val="00F35514"/>
    <w:rsid w:val="00F422C6"/>
    <w:rsid w:val="00F502A7"/>
    <w:rsid w:val="00F515EF"/>
    <w:rsid w:val="00F60D25"/>
    <w:rsid w:val="00F65FA1"/>
    <w:rsid w:val="00F72231"/>
    <w:rsid w:val="00F75E87"/>
    <w:rsid w:val="00F845F9"/>
    <w:rsid w:val="00F8613B"/>
    <w:rsid w:val="00F8764B"/>
    <w:rsid w:val="00F92111"/>
    <w:rsid w:val="00F939B4"/>
    <w:rsid w:val="00F93E9A"/>
    <w:rsid w:val="00F9506E"/>
    <w:rsid w:val="00FA7868"/>
    <w:rsid w:val="00FB2466"/>
    <w:rsid w:val="00FB4F91"/>
    <w:rsid w:val="00FC0EC9"/>
    <w:rsid w:val="00FC192F"/>
    <w:rsid w:val="00FC2C56"/>
    <w:rsid w:val="00FC307B"/>
    <w:rsid w:val="00FC3C47"/>
    <w:rsid w:val="00FC7D0F"/>
    <w:rsid w:val="00FD78C1"/>
    <w:rsid w:val="00FE0E5B"/>
    <w:rsid w:val="00FE0E74"/>
    <w:rsid w:val="00FE20A5"/>
    <w:rsid w:val="00FF04AA"/>
    <w:rsid w:val="00FF0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189B0"/>
  <w15:chartTrackingRefBased/>
  <w15:docId w15:val="{C58B7B3A-32D7-4FAC-A435-6C3E384B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s-MX"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C1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80A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
    <w:basedOn w:val="Normal"/>
    <w:link w:val="PrrafodelistaCar"/>
    <w:uiPriority w:val="1"/>
    <w:qFormat/>
    <w:rsid w:val="004864AF"/>
    <w:pPr>
      <w:ind w:left="720"/>
      <w:contextualSpacing/>
    </w:pPr>
  </w:style>
  <w:style w:type="table" w:customStyle="1" w:styleId="Tablaconcuadrcula1">
    <w:name w:val="Tabla con cuadrícula1"/>
    <w:basedOn w:val="Tablanormal"/>
    <w:next w:val="Tablaconcuadrcula"/>
    <w:uiPriority w:val="39"/>
    <w:rsid w:val="00A50E5F"/>
    <w:pPr>
      <w:spacing w:after="0"/>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0733C"/>
    <w:pPr>
      <w:tabs>
        <w:tab w:val="center" w:pos="4419"/>
        <w:tab w:val="right" w:pos="8838"/>
      </w:tabs>
      <w:spacing w:after="0"/>
    </w:pPr>
  </w:style>
  <w:style w:type="character" w:customStyle="1" w:styleId="EncabezadoCar">
    <w:name w:val="Encabezado Car"/>
    <w:basedOn w:val="Fuentedeprrafopredeter"/>
    <w:link w:val="Encabezado"/>
    <w:uiPriority w:val="99"/>
    <w:rsid w:val="0030733C"/>
  </w:style>
  <w:style w:type="paragraph" w:styleId="Piedepgina">
    <w:name w:val="footer"/>
    <w:basedOn w:val="Normal"/>
    <w:link w:val="PiedepginaCar"/>
    <w:uiPriority w:val="99"/>
    <w:unhideWhenUsed/>
    <w:rsid w:val="0030733C"/>
    <w:pPr>
      <w:tabs>
        <w:tab w:val="center" w:pos="4419"/>
        <w:tab w:val="right" w:pos="8838"/>
      </w:tabs>
      <w:spacing w:after="0"/>
    </w:pPr>
  </w:style>
  <w:style w:type="character" w:customStyle="1" w:styleId="PiedepginaCar">
    <w:name w:val="Pie de página Car"/>
    <w:basedOn w:val="Fuentedeprrafopredeter"/>
    <w:link w:val="Piedepgina"/>
    <w:uiPriority w:val="99"/>
    <w:rsid w:val="0030733C"/>
  </w:style>
  <w:style w:type="paragraph" w:styleId="Textodeglobo">
    <w:name w:val="Balloon Text"/>
    <w:basedOn w:val="Normal"/>
    <w:link w:val="TextodegloboCar"/>
    <w:uiPriority w:val="99"/>
    <w:semiHidden/>
    <w:unhideWhenUsed/>
    <w:rsid w:val="003642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4257"/>
    <w:rPr>
      <w:rFonts w:ascii="Segoe UI" w:hAnsi="Segoe UI" w:cs="Segoe UI"/>
      <w:sz w:val="18"/>
      <w:szCs w:val="18"/>
    </w:rPr>
  </w:style>
  <w:style w:type="character" w:customStyle="1" w:styleId="Ttulo1Car">
    <w:name w:val="Título 1 Car"/>
    <w:basedOn w:val="Fuentedeprrafopredeter"/>
    <w:link w:val="Ttulo1"/>
    <w:uiPriority w:val="9"/>
    <w:rsid w:val="00FC192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FC192F"/>
    <w:pPr>
      <w:spacing w:line="259" w:lineRule="auto"/>
      <w:outlineLvl w:val="9"/>
    </w:pPr>
    <w:rPr>
      <w:lang w:eastAsia="es-MX"/>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CD59E1"/>
  </w:style>
  <w:style w:type="paragraph" w:styleId="Sinespaciado">
    <w:name w:val="No Spacing"/>
    <w:uiPriority w:val="1"/>
    <w:qFormat/>
    <w:rsid w:val="00D05E60"/>
    <w:pPr>
      <w:spacing w:after="0"/>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2986">
      <w:bodyDiv w:val="1"/>
      <w:marLeft w:val="0"/>
      <w:marRight w:val="0"/>
      <w:marTop w:val="0"/>
      <w:marBottom w:val="0"/>
      <w:divBdr>
        <w:top w:val="none" w:sz="0" w:space="0" w:color="auto"/>
        <w:left w:val="none" w:sz="0" w:space="0" w:color="auto"/>
        <w:bottom w:val="none" w:sz="0" w:space="0" w:color="auto"/>
        <w:right w:val="none" w:sz="0" w:space="0" w:color="auto"/>
      </w:divBdr>
    </w:div>
    <w:div w:id="277030277">
      <w:bodyDiv w:val="1"/>
      <w:marLeft w:val="0"/>
      <w:marRight w:val="0"/>
      <w:marTop w:val="0"/>
      <w:marBottom w:val="0"/>
      <w:divBdr>
        <w:top w:val="none" w:sz="0" w:space="0" w:color="auto"/>
        <w:left w:val="none" w:sz="0" w:space="0" w:color="auto"/>
        <w:bottom w:val="none" w:sz="0" w:space="0" w:color="auto"/>
        <w:right w:val="none" w:sz="0" w:space="0" w:color="auto"/>
      </w:divBdr>
    </w:div>
    <w:div w:id="319115553">
      <w:bodyDiv w:val="1"/>
      <w:marLeft w:val="0"/>
      <w:marRight w:val="0"/>
      <w:marTop w:val="0"/>
      <w:marBottom w:val="0"/>
      <w:divBdr>
        <w:top w:val="none" w:sz="0" w:space="0" w:color="auto"/>
        <w:left w:val="none" w:sz="0" w:space="0" w:color="auto"/>
        <w:bottom w:val="none" w:sz="0" w:space="0" w:color="auto"/>
        <w:right w:val="none" w:sz="0" w:space="0" w:color="auto"/>
      </w:divBdr>
    </w:div>
    <w:div w:id="332874861">
      <w:bodyDiv w:val="1"/>
      <w:marLeft w:val="0"/>
      <w:marRight w:val="0"/>
      <w:marTop w:val="0"/>
      <w:marBottom w:val="0"/>
      <w:divBdr>
        <w:top w:val="none" w:sz="0" w:space="0" w:color="auto"/>
        <w:left w:val="none" w:sz="0" w:space="0" w:color="auto"/>
        <w:bottom w:val="none" w:sz="0" w:space="0" w:color="auto"/>
        <w:right w:val="none" w:sz="0" w:space="0" w:color="auto"/>
      </w:divBdr>
    </w:div>
    <w:div w:id="372921656">
      <w:bodyDiv w:val="1"/>
      <w:marLeft w:val="0"/>
      <w:marRight w:val="0"/>
      <w:marTop w:val="0"/>
      <w:marBottom w:val="0"/>
      <w:divBdr>
        <w:top w:val="none" w:sz="0" w:space="0" w:color="auto"/>
        <w:left w:val="none" w:sz="0" w:space="0" w:color="auto"/>
        <w:bottom w:val="none" w:sz="0" w:space="0" w:color="auto"/>
        <w:right w:val="none" w:sz="0" w:space="0" w:color="auto"/>
      </w:divBdr>
    </w:div>
    <w:div w:id="527791654">
      <w:bodyDiv w:val="1"/>
      <w:marLeft w:val="0"/>
      <w:marRight w:val="0"/>
      <w:marTop w:val="0"/>
      <w:marBottom w:val="0"/>
      <w:divBdr>
        <w:top w:val="none" w:sz="0" w:space="0" w:color="auto"/>
        <w:left w:val="none" w:sz="0" w:space="0" w:color="auto"/>
        <w:bottom w:val="none" w:sz="0" w:space="0" w:color="auto"/>
        <w:right w:val="none" w:sz="0" w:space="0" w:color="auto"/>
      </w:divBdr>
    </w:div>
    <w:div w:id="541676479">
      <w:bodyDiv w:val="1"/>
      <w:marLeft w:val="0"/>
      <w:marRight w:val="0"/>
      <w:marTop w:val="0"/>
      <w:marBottom w:val="0"/>
      <w:divBdr>
        <w:top w:val="none" w:sz="0" w:space="0" w:color="auto"/>
        <w:left w:val="none" w:sz="0" w:space="0" w:color="auto"/>
        <w:bottom w:val="none" w:sz="0" w:space="0" w:color="auto"/>
        <w:right w:val="none" w:sz="0" w:space="0" w:color="auto"/>
      </w:divBdr>
    </w:div>
    <w:div w:id="548615441">
      <w:bodyDiv w:val="1"/>
      <w:marLeft w:val="0"/>
      <w:marRight w:val="0"/>
      <w:marTop w:val="0"/>
      <w:marBottom w:val="0"/>
      <w:divBdr>
        <w:top w:val="none" w:sz="0" w:space="0" w:color="auto"/>
        <w:left w:val="none" w:sz="0" w:space="0" w:color="auto"/>
        <w:bottom w:val="none" w:sz="0" w:space="0" w:color="auto"/>
        <w:right w:val="none" w:sz="0" w:space="0" w:color="auto"/>
      </w:divBdr>
    </w:div>
    <w:div w:id="664668218">
      <w:bodyDiv w:val="1"/>
      <w:marLeft w:val="0"/>
      <w:marRight w:val="0"/>
      <w:marTop w:val="0"/>
      <w:marBottom w:val="0"/>
      <w:divBdr>
        <w:top w:val="none" w:sz="0" w:space="0" w:color="auto"/>
        <w:left w:val="none" w:sz="0" w:space="0" w:color="auto"/>
        <w:bottom w:val="none" w:sz="0" w:space="0" w:color="auto"/>
        <w:right w:val="none" w:sz="0" w:space="0" w:color="auto"/>
      </w:divBdr>
    </w:div>
    <w:div w:id="753208058">
      <w:bodyDiv w:val="1"/>
      <w:marLeft w:val="0"/>
      <w:marRight w:val="0"/>
      <w:marTop w:val="0"/>
      <w:marBottom w:val="0"/>
      <w:divBdr>
        <w:top w:val="none" w:sz="0" w:space="0" w:color="auto"/>
        <w:left w:val="none" w:sz="0" w:space="0" w:color="auto"/>
        <w:bottom w:val="none" w:sz="0" w:space="0" w:color="auto"/>
        <w:right w:val="none" w:sz="0" w:space="0" w:color="auto"/>
      </w:divBdr>
    </w:div>
    <w:div w:id="854610280">
      <w:bodyDiv w:val="1"/>
      <w:marLeft w:val="0"/>
      <w:marRight w:val="0"/>
      <w:marTop w:val="0"/>
      <w:marBottom w:val="0"/>
      <w:divBdr>
        <w:top w:val="none" w:sz="0" w:space="0" w:color="auto"/>
        <w:left w:val="none" w:sz="0" w:space="0" w:color="auto"/>
        <w:bottom w:val="none" w:sz="0" w:space="0" w:color="auto"/>
        <w:right w:val="none" w:sz="0" w:space="0" w:color="auto"/>
      </w:divBdr>
    </w:div>
    <w:div w:id="914556901">
      <w:bodyDiv w:val="1"/>
      <w:marLeft w:val="0"/>
      <w:marRight w:val="0"/>
      <w:marTop w:val="0"/>
      <w:marBottom w:val="0"/>
      <w:divBdr>
        <w:top w:val="none" w:sz="0" w:space="0" w:color="auto"/>
        <w:left w:val="none" w:sz="0" w:space="0" w:color="auto"/>
        <w:bottom w:val="none" w:sz="0" w:space="0" w:color="auto"/>
        <w:right w:val="none" w:sz="0" w:space="0" w:color="auto"/>
      </w:divBdr>
    </w:div>
    <w:div w:id="924075862">
      <w:bodyDiv w:val="1"/>
      <w:marLeft w:val="0"/>
      <w:marRight w:val="0"/>
      <w:marTop w:val="0"/>
      <w:marBottom w:val="0"/>
      <w:divBdr>
        <w:top w:val="none" w:sz="0" w:space="0" w:color="auto"/>
        <w:left w:val="none" w:sz="0" w:space="0" w:color="auto"/>
        <w:bottom w:val="none" w:sz="0" w:space="0" w:color="auto"/>
        <w:right w:val="none" w:sz="0" w:space="0" w:color="auto"/>
      </w:divBdr>
    </w:div>
    <w:div w:id="1043866739">
      <w:bodyDiv w:val="1"/>
      <w:marLeft w:val="0"/>
      <w:marRight w:val="0"/>
      <w:marTop w:val="0"/>
      <w:marBottom w:val="0"/>
      <w:divBdr>
        <w:top w:val="none" w:sz="0" w:space="0" w:color="auto"/>
        <w:left w:val="none" w:sz="0" w:space="0" w:color="auto"/>
        <w:bottom w:val="none" w:sz="0" w:space="0" w:color="auto"/>
        <w:right w:val="none" w:sz="0" w:space="0" w:color="auto"/>
      </w:divBdr>
    </w:div>
    <w:div w:id="1404445184">
      <w:bodyDiv w:val="1"/>
      <w:marLeft w:val="0"/>
      <w:marRight w:val="0"/>
      <w:marTop w:val="0"/>
      <w:marBottom w:val="0"/>
      <w:divBdr>
        <w:top w:val="none" w:sz="0" w:space="0" w:color="auto"/>
        <w:left w:val="none" w:sz="0" w:space="0" w:color="auto"/>
        <w:bottom w:val="none" w:sz="0" w:space="0" w:color="auto"/>
        <w:right w:val="none" w:sz="0" w:space="0" w:color="auto"/>
      </w:divBdr>
    </w:div>
    <w:div w:id="1452477046">
      <w:bodyDiv w:val="1"/>
      <w:marLeft w:val="0"/>
      <w:marRight w:val="0"/>
      <w:marTop w:val="0"/>
      <w:marBottom w:val="0"/>
      <w:divBdr>
        <w:top w:val="none" w:sz="0" w:space="0" w:color="auto"/>
        <w:left w:val="none" w:sz="0" w:space="0" w:color="auto"/>
        <w:bottom w:val="none" w:sz="0" w:space="0" w:color="auto"/>
        <w:right w:val="none" w:sz="0" w:space="0" w:color="auto"/>
      </w:divBdr>
    </w:div>
    <w:div w:id="1589577056">
      <w:bodyDiv w:val="1"/>
      <w:marLeft w:val="0"/>
      <w:marRight w:val="0"/>
      <w:marTop w:val="0"/>
      <w:marBottom w:val="0"/>
      <w:divBdr>
        <w:top w:val="none" w:sz="0" w:space="0" w:color="auto"/>
        <w:left w:val="none" w:sz="0" w:space="0" w:color="auto"/>
        <w:bottom w:val="none" w:sz="0" w:space="0" w:color="auto"/>
        <w:right w:val="none" w:sz="0" w:space="0" w:color="auto"/>
      </w:divBdr>
    </w:div>
    <w:div w:id="1608343520">
      <w:bodyDiv w:val="1"/>
      <w:marLeft w:val="0"/>
      <w:marRight w:val="0"/>
      <w:marTop w:val="0"/>
      <w:marBottom w:val="0"/>
      <w:divBdr>
        <w:top w:val="none" w:sz="0" w:space="0" w:color="auto"/>
        <w:left w:val="none" w:sz="0" w:space="0" w:color="auto"/>
        <w:bottom w:val="none" w:sz="0" w:space="0" w:color="auto"/>
        <w:right w:val="none" w:sz="0" w:space="0" w:color="auto"/>
      </w:divBdr>
    </w:div>
    <w:div w:id="1767339364">
      <w:bodyDiv w:val="1"/>
      <w:marLeft w:val="0"/>
      <w:marRight w:val="0"/>
      <w:marTop w:val="0"/>
      <w:marBottom w:val="0"/>
      <w:divBdr>
        <w:top w:val="none" w:sz="0" w:space="0" w:color="auto"/>
        <w:left w:val="none" w:sz="0" w:space="0" w:color="auto"/>
        <w:bottom w:val="none" w:sz="0" w:space="0" w:color="auto"/>
        <w:right w:val="none" w:sz="0" w:space="0" w:color="auto"/>
      </w:divBdr>
    </w:div>
    <w:div w:id="1881432751">
      <w:bodyDiv w:val="1"/>
      <w:marLeft w:val="0"/>
      <w:marRight w:val="0"/>
      <w:marTop w:val="0"/>
      <w:marBottom w:val="0"/>
      <w:divBdr>
        <w:top w:val="none" w:sz="0" w:space="0" w:color="auto"/>
        <w:left w:val="none" w:sz="0" w:space="0" w:color="auto"/>
        <w:bottom w:val="none" w:sz="0" w:space="0" w:color="auto"/>
        <w:right w:val="none" w:sz="0" w:space="0" w:color="auto"/>
      </w:divBdr>
    </w:div>
    <w:div w:id="1968975082">
      <w:bodyDiv w:val="1"/>
      <w:marLeft w:val="0"/>
      <w:marRight w:val="0"/>
      <w:marTop w:val="0"/>
      <w:marBottom w:val="0"/>
      <w:divBdr>
        <w:top w:val="none" w:sz="0" w:space="0" w:color="auto"/>
        <w:left w:val="none" w:sz="0" w:space="0" w:color="auto"/>
        <w:bottom w:val="none" w:sz="0" w:space="0" w:color="auto"/>
        <w:right w:val="none" w:sz="0" w:space="0" w:color="auto"/>
      </w:divBdr>
    </w:div>
    <w:div w:id="2031879856">
      <w:bodyDiv w:val="1"/>
      <w:marLeft w:val="0"/>
      <w:marRight w:val="0"/>
      <w:marTop w:val="0"/>
      <w:marBottom w:val="0"/>
      <w:divBdr>
        <w:top w:val="none" w:sz="0" w:space="0" w:color="auto"/>
        <w:left w:val="none" w:sz="0" w:space="0" w:color="auto"/>
        <w:bottom w:val="none" w:sz="0" w:space="0" w:color="auto"/>
        <w:right w:val="none" w:sz="0" w:space="0" w:color="auto"/>
      </w:divBdr>
    </w:div>
    <w:div w:id="21453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9D7D-9127-4646-9BAC-B81B5030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1136</Words>
  <Characters>6274</Characters>
  <Application>Microsoft Office Word</Application>
  <DocSecurity>0</DocSecurity>
  <Lines>482</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 Alejandro Serrano Maldonado</dc:creator>
  <cp:keywords/>
  <dc:description/>
  <cp:lastModifiedBy>Sandra Saloma Palacios</cp:lastModifiedBy>
  <cp:revision>7</cp:revision>
  <cp:lastPrinted>2021-07-23T00:45:00Z</cp:lastPrinted>
  <dcterms:created xsi:type="dcterms:W3CDTF">2023-08-31T21:24:00Z</dcterms:created>
  <dcterms:modified xsi:type="dcterms:W3CDTF">2023-09-04T17:55:00Z</dcterms:modified>
</cp:coreProperties>
</file>