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8F6" w14:textId="77777777" w:rsidR="00B27661" w:rsidRPr="000A7FC0" w:rsidRDefault="00004DE6" w:rsidP="00B27661">
      <w:pPr>
        <w:numPr>
          <w:ilvl w:val="12"/>
          <w:numId w:val="0"/>
        </w:numPr>
        <w:tabs>
          <w:tab w:val="left" w:pos="426"/>
        </w:tabs>
        <w:ind w:left="426" w:hanging="426"/>
        <w:jc w:val="center"/>
        <w:outlineLvl w:val="0"/>
        <w:rPr>
          <w:rFonts w:ascii="Century Gothic" w:hAnsi="Century Gothic"/>
          <w:b/>
          <w:sz w:val="22"/>
          <w:szCs w:val="22"/>
          <w:u w:val="single"/>
        </w:rPr>
      </w:pPr>
      <w:r w:rsidRPr="000A7FC0">
        <w:rPr>
          <w:rFonts w:ascii="Century Gothic" w:hAnsi="Century Gothic"/>
          <w:b/>
          <w:sz w:val="22"/>
          <w:szCs w:val="22"/>
          <w:u w:val="single"/>
        </w:rPr>
        <w:t xml:space="preserve">ANEXO </w:t>
      </w:r>
      <w:r w:rsidR="003466D8" w:rsidRPr="000A7FC0">
        <w:rPr>
          <w:rFonts w:ascii="Century Gothic" w:hAnsi="Century Gothic"/>
          <w:b/>
          <w:sz w:val="22"/>
          <w:szCs w:val="22"/>
          <w:u w:val="single"/>
        </w:rPr>
        <w:t>TÉCNICO</w:t>
      </w:r>
    </w:p>
    <w:p w14:paraId="4ECB27E6" w14:textId="77777777" w:rsidR="00B27661" w:rsidRPr="000A7FC0" w:rsidRDefault="00B27661" w:rsidP="00B27661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14:paraId="62C676EC" w14:textId="77777777" w:rsidR="00B27661" w:rsidRPr="000A7FC0" w:rsidRDefault="00B27661" w:rsidP="00850139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14:paraId="72CD29CD" w14:textId="72C39C55" w:rsidR="00B27661" w:rsidRPr="000A7FC0" w:rsidRDefault="00B27661" w:rsidP="00B27661">
      <w:pPr>
        <w:numPr>
          <w:ilvl w:val="12"/>
          <w:numId w:val="0"/>
        </w:numPr>
        <w:jc w:val="center"/>
        <w:outlineLvl w:val="0"/>
        <w:rPr>
          <w:rFonts w:ascii="Century Gothic" w:hAnsi="Century Gothic"/>
          <w:b/>
          <w:sz w:val="22"/>
          <w:szCs w:val="22"/>
          <w:u w:val="single"/>
        </w:rPr>
      </w:pPr>
      <w:r w:rsidRPr="000A7FC0">
        <w:rPr>
          <w:rFonts w:ascii="Century Gothic" w:hAnsi="Century Gothic"/>
          <w:b/>
          <w:sz w:val="22"/>
          <w:szCs w:val="22"/>
          <w:u w:val="single"/>
        </w:rPr>
        <w:t xml:space="preserve">SERVICIO DE </w:t>
      </w:r>
      <w:r w:rsidRPr="000A7FC0">
        <w:rPr>
          <w:rFonts w:ascii="Century Gothic" w:hAnsi="Century Gothic" w:cs="Arial"/>
          <w:b/>
          <w:sz w:val="22"/>
          <w:szCs w:val="22"/>
          <w:u w:val="single"/>
        </w:rPr>
        <w:t xml:space="preserve">MANTENIMIENTO PREVENTIVO Y CORRECTIVO A </w:t>
      </w:r>
      <w:r w:rsidR="00744A52">
        <w:rPr>
          <w:rFonts w:ascii="Century Gothic" w:hAnsi="Century Gothic" w:cs="Arial"/>
          <w:b/>
          <w:sz w:val="22"/>
          <w:szCs w:val="22"/>
          <w:u w:val="single"/>
        </w:rPr>
        <w:t>UNA</w:t>
      </w:r>
      <w:r w:rsidR="004204FF" w:rsidRPr="000A7FC0">
        <w:rPr>
          <w:rFonts w:ascii="Century Gothic" w:hAnsi="Century Gothic" w:cs="Arial"/>
          <w:b/>
          <w:sz w:val="22"/>
          <w:szCs w:val="22"/>
          <w:u w:val="single"/>
        </w:rPr>
        <w:t xml:space="preserve"> PLANTA </w:t>
      </w:r>
      <w:r w:rsidR="00744A52">
        <w:rPr>
          <w:rFonts w:ascii="Century Gothic" w:hAnsi="Century Gothic" w:cs="Arial"/>
          <w:b/>
          <w:sz w:val="22"/>
          <w:szCs w:val="22"/>
          <w:u w:val="single"/>
        </w:rPr>
        <w:t xml:space="preserve">GENERADORA DE ENERGÍA ELÉCTRICA </w:t>
      </w:r>
      <w:r w:rsidR="00A41910" w:rsidRPr="000A7FC0">
        <w:rPr>
          <w:rFonts w:ascii="Century Gothic" w:hAnsi="Century Gothic" w:cs="Arial"/>
          <w:b/>
          <w:sz w:val="22"/>
          <w:szCs w:val="22"/>
          <w:u w:val="single"/>
        </w:rPr>
        <w:t>INSTALAD</w:t>
      </w:r>
      <w:r w:rsidR="00066A74" w:rsidRPr="000A7FC0">
        <w:rPr>
          <w:rFonts w:ascii="Century Gothic" w:hAnsi="Century Gothic" w:cs="Arial"/>
          <w:b/>
          <w:sz w:val="22"/>
          <w:szCs w:val="22"/>
          <w:u w:val="single"/>
        </w:rPr>
        <w:t>A</w:t>
      </w:r>
      <w:r w:rsidR="00744A52">
        <w:rPr>
          <w:rFonts w:ascii="Century Gothic" w:hAnsi="Century Gothic" w:cs="Arial"/>
          <w:b/>
          <w:sz w:val="22"/>
          <w:szCs w:val="22"/>
          <w:u w:val="single"/>
        </w:rPr>
        <w:t xml:space="preserve"> EN LA SALA REGIONAL ESPECIALIZADA DEL TRIB</w:t>
      </w:r>
      <w:r w:rsidRPr="000A7FC0">
        <w:rPr>
          <w:rFonts w:ascii="Century Gothic" w:hAnsi="Century Gothic" w:cs="Arial"/>
          <w:b/>
          <w:sz w:val="22"/>
          <w:szCs w:val="22"/>
          <w:u w:val="single"/>
        </w:rPr>
        <w:t>UNAL ELECTORAL</w:t>
      </w:r>
      <w:r w:rsidR="00661396" w:rsidRPr="000A7FC0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744A52">
        <w:rPr>
          <w:rFonts w:ascii="Century Gothic" w:hAnsi="Century Gothic" w:cs="Arial"/>
          <w:b/>
          <w:sz w:val="22"/>
          <w:szCs w:val="22"/>
          <w:u w:val="single"/>
        </w:rPr>
        <w:t xml:space="preserve">DEL PODER JUDICIAL DE LA </w:t>
      </w:r>
      <w:r w:rsidR="0038218C">
        <w:rPr>
          <w:rFonts w:ascii="Century Gothic" w:hAnsi="Century Gothic" w:cs="Arial"/>
          <w:b/>
          <w:sz w:val="22"/>
          <w:szCs w:val="22"/>
          <w:u w:val="single"/>
        </w:rPr>
        <w:t xml:space="preserve">    </w:t>
      </w:r>
      <w:r w:rsidR="00744A52">
        <w:rPr>
          <w:rFonts w:ascii="Century Gothic" w:hAnsi="Century Gothic" w:cs="Arial"/>
          <w:b/>
          <w:sz w:val="22"/>
          <w:szCs w:val="22"/>
          <w:u w:val="single"/>
        </w:rPr>
        <w:t xml:space="preserve">FEDERACIÓN </w:t>
      </w:r>
      <w:r w:rsidR="00661396" w:rsidRPr="000A7FC0">
        <w:rPr>
          <w:rFonts w:ascii="Century Gothic" w:hAnsi="Century Gothic" w:cs="Arial"/>
          <w:b/>
          <w:sz w:val="22"/>
          <w:szCs w:val="22"/>
          <w:u w:val="single"/>
        </w:rPr>
        <w:t xml:space="preserve">CON UNA VIGENCIA DEL 1° DE ENERO </w:t>
      </w:r>
      <w:r w:rsidR="00667CA1" w:rsidRPr="000A7FC0">
        <w:rPr>
          <w:rFonts w:ascii="Century Gothic" w:hAnsi="Century Gothic" w:cs="Arial"/>
          <w:b/>
          <w:sz w:val="22"/>
          <w:szCs w:val="22"/>
          <w:u w:val="single"/>
        </w:rPr>
        <w:t>AL 31 DE DICIEMBRE DE 20</w:t>
      </w:r>
      <w:r w:rsidR="00104A17">
        <w:rPr>
          <w:rFonts w:ascii="Century Gothic" w:hAnsi="Century Gothic" w:cs="Arial"/>
          <w:b/>
          <w:sz w:val="22"/>
          <w:szCs w:val="22"/>
          <w:u w:val="single"/>
        </w:rPr>
        <w:t>2</w:t>
      </w:r>
      <w:r w:rsidR="007A2221">
        <w:rPr>
          <w:rFonts w:ascii="Century Gothic" w:hAnsi="Century Gothic" w:cs="Arial"/>
          <w:b/>
          <w:sz w:val="22"/>
          <w:szCs w:val="22"/>
          <w:u w:val="single"/>
        </w:rPr>
        <w:t>4</w:t>
      </w:r>
      <w:r w:rsidR="00667CA1" w:rsidRPr="000A7FC0">
        <w:rPr>
          <w:rFonts w:ascii="Century Gothic" w:hAnsi="Century Gothic" w:cs="Arial"/>
          <w:b/>
          <w:sz w:val="22"/>
          <w:szCs w:val="22"/>
          <w:u w:val="single"/>
        </w:rPr>
        <w:t>.</w:t>
      </w:r>
      <w:r w:rsidRPr="000A7FC0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43C99728" w14:textId="77777777" w:rsidR="00B27661" w:rsidRPr="000A7FC0" w:rsidRDefault="00B27661" w:rsidP="00850139">
      <w:pPr>
        <w:tabs>
          <w:tab w:val="left" w:pos="-720"/>
        </w:tabs>
        <w:suppressAutoHyphens/>
        <w:jc w:val="both"/>
        <w:rPr>
          <w:rFonts w:ascii="Century Gothic" w:hAnsi="Century Gothic" w:cs="Arial"/>
          <w:b/>
          <w:iCs/>
          <w:spacing w:val="-3"/>
          <w:sz w:val="22"/>
          <w:szCs w:val="22"/>
        </w:rPr>
      </w:pPr>
    </w:p>
    <w:p w14:paraId="27B8B2C6" w14:textId="77777777" w:rsidR="000F00AC" w:rsidRDefault="00B27661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0A7FC0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OBJETO DEL SERVICIO. </w:t>
      </w:r>
      <w:r w:rsidR="00744A52">
        <w:rPr>
          <w:rFonts w:ascii="Century Gothic" w:hAnsi="Century Gothic" w:cs="Arial"/>
          <w:iCs/>
          <w:spacing w:val="-3"/>
          <w:sz w:val="22"/>
          <w:szCs w:val="22"/>
        </w:rPr>
        <w:t xml:space="preserve">La Sala Regional Especializada del </w:t>
      </w:r>
      <w:r w:rsidR="00BF26C5">
        <w:rPr>
          <w:rFonts w:ascii="Century Gothic" w:hAnsi="Century Gothic" w:cs="Arial"/>
          <w:iCs/>
          <w:spacing w:val="-3"/>
          <w:sz w:val="22"/>
          <w:szCs w:val="22"/>
        </w:rPr>
        <w:t>T</w:t>
      </w:r>
      <w:r w:rsidR="00744A52">
        <w:rPr>
          <w:rFonts w:ascii="Century Gothic" w:hAnsi="Century Gothic" w:cs="Arial"/>
          <w:iCs/>
          <w:spacing w:val="-3"/>
          <w:sz w:val="22"/>
          <w:szCs w:val="22"/>
        </w:rPr>
        <w:t>ribunal Electoral del Poder Judicial de la Federación, requiere contratar los servicios de una empresa que proporcione el</w:t>
      </w:r>
      <w:r w:rsidRPr="000A7FC0">
        <w:rPr>
          <w:rFonts w:ascii="Century Gothic" w:hAnsi="Century Gothic" w:cs="Arial"/>
          <w:iCs/>
          <w:spacing w:val="-3"/>
          <w:sz w:val="22"/>
          <w:szCs w:val="22"/>
        </w:rPr>
        <w:t xml:space="preserve"> mantenimiento preventivo y en su caso correctivo a </w:t>
      </w:r>
      <w:r w:rsidR="000F00AC">
        <w:rPr>
          <w:rFonts w:ascii="Century Gothic" w:hAnsi="Century Gothic" w:cs="Arial"/>
          <w:iCs/>
          <w:spacing w:val="-3"/>
          <w:sz w:val="22"/>
          <w:szCs w:val="22"/>
        </w:rPr>
        <w:t xml:space="preserve">una planta generadora de energía eléctrica de 300 </w:t>
      </w:r>
      <w:proofErr w:type="spellStart"/>
      <w:r w:rsidR="000F00AC">
        <w:rPr>
          <w:rFonts w:ascii="Century Gothic" w:hAnsi="Century Gothic" w:cs="Arial"/>
          <w:iCs/>
          <w:spacing w:val="-3"/>
          <w:sz w:val="22"/>
          <w:szCs w:val="22"/>
        </w:rPr>
        <w:t>kw</w:t>
      </w:r>
      <w:proofErr w:type="spellEnd"/>
      <w:r w:rsidR="000F00AC">
        <w:rPr>
          <w:rFonts w:ascii="Century Gothic" w:hAnsi="Century Gothic" w:cs="Arial"/>
          <w:iCs/>
          <w:spacing w:val="-3"/>
          <w:sz w:val="22"/>
          <w:szCs w:val="22"/>
        </w:rPr>
        <w:t>.</w:t>
      </w:r>
    </w:p>
    <w:p w14:paraId="73AF1637" w14:textId="77777777" w:rsidR="000F00AC" w:rsidRDefault="000F00AC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1EF43657" w14:textId="77777777" w:rsidR="000F00AC" w:rsidRDefault="000F00AC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0F00AC">
        <w:rPr>
          <w:rFonts w:ascii="Century Gothic" w:hAnsi="Century Gothic" w:cs="Arial"/>
          <w:b/>
          <w:iCs/>
          <w:spacing w:val="-3"/>
          <w:sz w:val="22"/>
          <w:szCs w:val="22"/>
        </w:rPr>
        <w:t>LUGAR DONDE SE REALIZARÁ EL SERVICIO.</w:t>
      </w:r>
      <w:r>
        <w:rPr>
          <w:rFonts w:ascii="Century Gothic" w:hAnsi="Century Gothic" w:cs="Arial"/>
          <w:iCs/>
          <w:spacing w:val="-3"/>
          <w:sz w:val="22"/>
          <w:szCs w:val="22"/>
        </w:rPr>
        <w:t xml:space="preserve"> Edificio de la Sala Regional Especializada, ubicada en la calle Pablo de la Llave No. 110, colonia Bosques de Tetlameya, </w:t>
      </w:r>
      <w:r w:rsidR="005333CC">
        <w:rPr>
          <w:rFonts w:ascii="Century Gothic" w:hAnsi="Century Gothic" w:cs="Arial"/>
          <w:iCs/>
          <w:spacing w:val="-3"/>
          <w:sz w:val="22"/>
          <w:szCs w:val="22"/>
        </w:rPr>
        <w:t>en la Alcaldía de</w:t>
      </w:r>
      <w:r>
        <w:rPr>
          <w:rFonts w:ascii="Century Gothic" w:hAnsi="Century Gothic" w:cs="Arial"/>
          <w:iCs/>
          <w:spacing w:val="-3"/>
          <w:sz w:val="22"/>
          <w:szCs w:val="22"/>
        </w:rPr>
        <w:t xml:space="preserve"> Coyoacán, C.P. 04730, Ciudad de México.</w:t>
      </w:r>
    </w:p>
    <w:p w14:paraId="19D572E9" w14:textId="77777777" w:rsidR="000F00AC" w:rsidRDefault="000F00AC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2CA61D2D" w14:textId="77777777" w:rsidR="00130569" w:rsidRPr="002D3E20" w:rsidRDefault="00D441D6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  <w:r w:rsidRPr="000A7FC0">
        <w:rPr>
          <w:rFonts w:ascii="Century Gothic" w:hAnsi="Century Gothic" w:cs="Arial"/>
          <w:b/>
          <w:iCs/>
          <w:spacing w:val="-3"/>
          <w:sz w:val="22"/>
          <w:szCs w:val="22"/>
        </w:rPr>
        <w:t>MANTENIMIENTO PREVENTIVO</w:t>
      </w:r>
      <w:r w:rsidR="000F00AC">
        <w:rPr>
          <w:rFonts w:ascii="Century Gothic" w:hAnsi="Century Gothic" w:cs="Arial"/>
          <w:b/>
          <w:iCs/>
          <w:spacing w:val="-3"/>
          <w:sz w:val="22"/>
          <w:szCs w:val="22"/>
        </w:rPr>
        <w:t>.</w:t>
      </w:r>
      <w:r w:rsidRPr="000A7FC0"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 </w:t>
      </w:r>
      <w:r w:rsidR="00D73A8A" w:rsidRPr="000A7FC0">
        <w:rPr>
          <w:rFonts w:ascii="Century Gothic" w:hAnsi="Century Gothic" w:cs="Arial"/>
          <w:iCs/>
          <w:spacing w:val="-3"/>
          <w:sz w:val="22"/>
          <w:szCs w:val="22"/>
        </w:rPr>
        <w:t>El servicio de mantenimiento preventi</w:t>
      </w:r>
      <w:r w:rsidR="00D162B9">
        <w:rPr>
          <w:rFonts w:ascii="Century Gothic" w:hAnsi="Century Gothic" w:cs="Arial"/>
          <w:iCs/>
          <w:spacing w:val="-3"/>
          <w:sz w:val="22"/>
          <w:szCs w:val="22"/>
        </w:rPr>
        <w:t xml:space="preserve">vo </w:t>
      </w:r>
      <w:r w:rsidR="00D73A8A" w:rsidRPr="000A7FC0">
        <w:rPr>
          <w:rFonts w:ascii="Century Gothic" w:hAnsi="Century Gothic" w:cs="Arial"/>
          <w:iCs/>
          <w:spacing w:val="-3"/>
          <w:sz w:val="22"/>
          <w:szCs w:val="22"/>
        </w:rPr>
        <w:t xml:space="preserve">de la planta de energía eléctrica </w:t>
      </w:r>
      <w:r w:rsidR="00130569" w:rsidRPr="000A7FC0">
        <w:rPr>
          <w:rFonts w:ascii="Century Gothic" w:hAnsi="Century Gothic" w:cs="Arial"/>
          <w:color w:val="000000"/>
          <w:spacing w:val="2"/>
          <w:sz w:val="22"/>
          <w:szCs w:val="22"/>
        </w:rPr>
        <w:t>deberá ser r</w:t>
      </w:r>
      <w:r w:rsidR="00994A67" w:rsidRPr="000A7FC0">
        <w:rPr>
          <w:rFonts w:ascii="Century Gothic" w:hAnsi="Century Gothic" w:cs="Arial"/>
          <w:color w:val="000000"/>
          <w:spacing w:val="2"/>
          <w:sz w:val="22"/>
          <w:szCs w:val="22"/>
        </w:rPr>
        <w:t>e</w:t>
      </w:r>
      <w:r w:rsidR="00130569" w:rsidRPr="000A7FC0">
        <w:rPr>
          <w:rFonts w:ascii="Century Gothic" w:hAnsi="Century Gothic" w:cs="Arial"/>
          <w:color w:val="000000"/>
          <w:spacing w:val="2"/>
          <w:sz w:val="22"/>
          <w:szCs w:val="22"/>
        </w:rPr>
        <w:t xml:space="preserve">alizado </w:t>
      </w:r>
      <w:r w:rsidR="000F00AC">
        <w:rPr>
          <w:rFonts w:ascii="Century Gothic" w:hAnsi="Century Gothic" w:cs="Arial"/>
          <w:color w:val="000000"/>
          <w:spacing w:val="2"/>
          <w:sz w:val="22"/>
          <w:szCs w:val="22"/>
        </w:rPr>
        <w:t xml:space="preserve">de manera bimestral, </w:t>
      </w:r>
      <w:r w:rsidR="00130569" w:rsidRPr="000A7FC0">
        <w:rPr>
          <w:rFonts w:ascii="Century Gothic" w:hAnsi="Century Gothic" w:cs="Arial"/>
          <w:color w:val="000000"/>
          <w:spacing w:val="2"/>
          <w:sz w:val="22"/>
          <w:szCs w:val="22"/>
        </w:rPr>
        <w:t>con toda oportunidad, respetando en todo momento</w:t>
      </w:r>
      <w:r w:rsidR="00734D93">
        <w:rPr>
          <w:rFonts w:ascii="Century Gothic" w:hAnsi="Century Gothic" w:cs="Arial"/>
          <w:color w:val="000000"/>
          <w:spacing w:val="2"/>
          <w:sz w:val="22"/>
          <w:szCs w:val="22"/>
        </w:rPr>
        <w:t xml:space="preserve"> el calendario </w:t>
      </w:r>
      <w:r w:rsidR="000F00AC">
        <w:rPr>
          <w:rFonts w:ascii="Century Gothic" w:hAnsi="Century Gothic" w:cs="Arial"/>
          <w:color w:val="000000"/>
          <w:spacing w:val="2"/>
          <w:sz w:val="22"/>
          <w:szCs w:val="22"/>
        </w:rPr>
        <w:t xml:space="preserve">establecido con la Delegación Administrativa. </w:t>
      </w:r>
    </w:p>
    <w:p w14:paraId="7BBA1A97" w14:textId="77777777" w:rsidR="00D452DA" w:rsidRPr="000A7FC0" w:rsidRDefault="00D452DA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2D9B0B7E" w14:textId="77777777" w:rsidR="00014C73" w:rsidRPr="000A7FC0" w:rsidRDefault="00014C73" w:rsidP="009C6563">
      <w:pPr>
        <w:ind w:left="340"/>
        <w:jc w:val="both"/>
        <w:rPr>
          <w:rFonts w:ascii="Century Gothic" w:hAnsi="Century Gothic" w:cs="Arial"/>
          <w:b/>
          <w:sz w:val="22"/>
          <w:szCs w:val="22"/>
        </w:rPr>
      </w:pPr>
      <w:r w:rsidRPr="000A7FC0">
        <w:rPr>
          <w:rFonts w:ascii="Century Gothic" w:hAnsi="Century Gothic" w:cs="Arial"/>
          <w:sz w:val="22"/>
          <w:szCs w:val="22"/>
        </w:rPr>
        <w:t>Al inicio de la prestación d</w:t>
      </w:r>
      <w:smartTag w:uri="urn:schemas-microsoft-com:office:smarttags" w:element="PersonName">
        <w:r w:rsidRPr="000A7FC0">
          <w:rPr>
            <w:rFonts w:ascii="Century Gothic" w:hAnsi="Century Gothic" w:cs="Arial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sz w:val="22"/>
          <w:szCs w:val="22"/>
        </w:rPr>
        <w:t xml:space="preserve"> servicio se deberá formular la bitácora de servicio, en una carpeta expresa, donde se anotará fecha de inicio, responsables tanto por parte d</w:t>
      </w:r>
      <w:smartTag w:uri="urn:schemas-microsoft-com:office:smarttags" w:element="PersonName">
        <w:r w:rsidRPr="000A7FC0">
          <w:rPr>
            <w:rFonts w:ascii="Century Gothic" w:hAnsi="Century Gothic" w:cs="Arial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sz w:val="22"/>
          <w:szCs w:val="22"/>
        </w:rPr>
        <w:t xml:space="preserve"> prestador de servicios, como por parte de la D</w:t>
      </w:r>
      <w:r w:rsidR="000F00AC">
        <w:rPr>
          <w:rFonts w:ascii="Century Gothic" w:hAnsi="Century Gothic" w:cs="Arial"/>
          <w:sz w:val="22"/>
          <w:szCs w:val="22"/>
        </w:rPr>
        <w:t>elegación Administrativa de la Sala Regional Especializada</w:t>
      </w:r>
      <w:r w:rsidRPr="000A7FC0">
        <w:rPr>
          <w:rFonts w:ascii="Century Gothic" w:hAnsi="Century Gothic" w:cs="Arial"/>
          <w:sz w:val="22"/>
          <w:szCs w:val="22"/>
        </w:rPr>
        <w:t>, en lo posible, deberá evitarse que alguna nota presente tachaduras o enmendaduras, en caso necesario se canc</w:t>
      </w:r>
      <w:smartTag w:uri="urn:schemas-microsoft-com:office:smarttags" w:element="PersonName">
        <w:r w:rsidRPr="000A7FC0">
          <w:rPr>
            <w:rFonts w:ascii="Century Gothic" w:hAnsi="Century Gothic" w:cs="Arial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sz w:val="22"/>
          <w:szCs w:val="22"/>
        </w:rPr>
        <w:t>ará la nota y se abrirá una nueva, que deberá invariablemente hacer referencia a la nota que canc</w:t>
      </w:r>
      <w:smartTag w:uri="urn:schemas-microsoft-com:office:smarttags" w:element="PersonName">
        <w:r w:rsidRPr="000A7FC0">
          <w:rPr>
            <w:rFonts w:ascii="Century Gothic" w:hAnsi="Century Gothic" w:cs="Arial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sz w:val="22"/>
          <w:szCs w:val="22"/>
        </w:rPr>
        <w:t>a.</w:t>
      </w:r>
    </w:p>
    <w:p w14:paraId="3014A556" w14:textId="77777777" w:rsidR="00587FC1" w:rsidRPr="000A7FC0" w:rsidRDefault="00587FC1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</w:p>
    <w:p w14:paraId="23178F70" w14:textId="77777777" w:rsidR="0061774F" w:rsidRPr="000A7FC0" w:rsidRDefault="00A12B01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RUTINAS DE MANTENIMIENTO PREVENTIVO</w:t>
      </w:r>
    </w:p>
    <w:p w14:paraId="59E68232" w14:textId="77777777" w:rsidR="00A12B01" w:rsidRPr="000A7FC0" w:rsidRDefault="00A12B01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7B1D8F14" w14:textId="77777777" w:rsidR="00A12B01" w:rsidRPr="000A7FC0" w:rsidRDefault="00A12B01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Antes de poner en funcionamiento la planta de emergencia se deben checar algunos puntos en el motor, generador, y tablero de tr</w:t>
      </w:r>
      <w:r w:rsidR="00014C73" w:rsidRPr="000A7FC0">
        <w:rPr>
          <w:rFonts w:ascii="Century Gothic" w:eastAsia="Batang" w:hAnsi="Century Gothic" w:cs="Arial"/>
          <w:b/>
          <w:bCs/>
          <w:sz w:val="22"/>
          <w:szCs w:val="22"/>
        </w:rPr>
        <w:t>ansferencia como:</w:t>
      </w:r>
    </w:p>
    <w:p w14:paraId="3806E714" w14:textId="77777777" w:rsidR="00A12B01" w:rsidRPr="000A7FC0" w:rsidRDefault="00A12B01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7BDBCAFF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Nivel de aceite del motor.</w:t>
      </w:r>
    </w:p>
    <w:p w14:paraId="3A078595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Nivel de </w:t>
      </w:r>
      <w:r w:rsidR="001423A1" w:rsidRPr="000A7FC0">
        <w:rPr>
          <w:rFonts w:ascii="Century Gothic" w:eastAsia="Batang" w:hAnsi="Century Gothic" w:cs="Arial"/>
          <w:bCs/>
          <w:sz w:val="22"/>
          <w:szCs w:val="22"/>
        </w:rPr>
        <w:t>diésel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del tanque de combustible.</w:t>
      </w:r>
    </w:p>
    <w:p w14:paraId="4D9C832A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Nivel de agua en el radiador.</w:t>
      </w:r>
    </w:p>
    <w:p w14:paraId="0860BA87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Nivel de electrolito en las </w:t>
      </w:r>
      <w:r w:rsidR="005824C3" w:rsidRPr="000A7FC0">
        <w:rPr>
          <w:rFonts w:ascii="Century Gothic" w:eastAsia="Batang" w:hAnsi="Century Gothic" w:cs="Arial"/>
          <w:bCs/>
          <w:sz w:val="22"/>
          <w:szCs w:val="22"/>
        </w:rPr>
        <w:t>baterías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de arranque</w:t>
      </w:r>
    </w:p>
    <w:p w14:paraId="01E07F79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Sello de </w:t>
      </w:r>
      <w:r w:rsidR="005824C3" w:rsidRPr="000A7FC0">
        <w:rPr>
          <w:rFonts w:ascii="Century Gothic" w:eastAsia="Batang" w:hAnsi="Century Gothic" w:cs="Arial"/>
          <w:bCs/>
          <w:sz w:val="22"/>
          <w:szCs w:val="22"/>
        </w:rPr>
        <w:t>tapón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del radiador</w:t>
      </w:r>
    </w:p>
    <w:p w14:paraId="1C8701CD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Falso contacto en todas las conexiones eléctricas en el motor, generador, así como en el tablero de transferencia.</w:t>
      </w:r>
    </w:p>
    <w:p w14:paraId="025CDBD6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Voltaje de flotación de las </w:t>
      </w:r>
      <w:r w:rsidR="005824C3" w:rsidRPr="000A7FC0">
        <w:rPr>
          <w:rFonts w:ascii="Century Gothic" w:eastAsia="Batang" w:hAnsi="Century Gothic" w:cs="Arial"/>
          <w:bCs/>
          <w:sz w:val="22"/>
          <w:szCs w:val="22"/>
        </w:rPr>
        <w:t>baterías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de arranque.</w:t>
      </w:r>
    </w:p>
    <w:p w14:paraId="3F6A5A5D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Corriente de flotación e igualación del cargador de </w:t>
      </w:r>
      <w:r w:rsidR="005824C3" w:rsidRPr="000A7FC0">
        <w:rPr>
          <w:rFonts w:ascii="Century Gothic" w:eastAsia="Batang" w:hAnsi="Century Gothic" w:cs="Arial"/>
          <w:bCs/>
          <w:sz w:val="22"/>
          <w:szCs w:val="22"/>
        </w:rPr>
        <w:t>baterías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>.</w:t>
      </w:r>
    </w:p>
    <w:p w14:paraId="6E196F69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Checar aparatos de medición.</w:t>
      </w:r>
    </w:p>
    <w:p w14:paraId="60D406E1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Fugas de agua en el motor y radiador.</w:t>
      </w:r>
    </w:p>
    <w:p w14:paraId="4118C9C5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Fugas de aceite en el motor.</w:t>
      </w:r>
    </w:p>
    <w:p w14:paraId="6F0150D9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Fugas de </w:t>
      </w:r>
      <w:r w:rsidR="001423A1" w:rsidRPr="000A7FC0">
        <w:rPr>
          <w:rFonts w:ascii="Century Gothic" w:eastAsia="Batang" w:hAnsi="Century Gothic" w:cs="Arial"/>
          <w:bCs/>
          <w:sz w:val="22"/>
          <w:szCs w:val="22"/>
        </w:rPr>
        <w:t>diésel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en el motor, tuberías de alimentación, retorno y tanque del combustible.</w:t>
      </w:r>
    </w:p>
    <w:p w14:paraId="20877D36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Estado en que se encuentran las bandas del ventilador.</w:t>
      </w:r>
    </w:p>
    <w:p w14:paraId="08DB3525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lastRenderedPageBreak/>
        <w:t>Tensión de las bandas del ventilador.</w:t>
      </w:r>
    </w:p>
    <w:p w14:paraId="5C928C94" w14:textId="77777777" w:rsidR="00A12B01" w:rsidRPr="000A7FC0" w:rsidRDefault="00A12B01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Funcionamiento </w:t>
      </w:r>
      <w:r w:rsidR="005824C3" w:rsidRPr="000A7FC0">
        <w:rPr>
          <w:rFonts w:ascii="Century Gothic" w:eastAsia="Batang" w:hAnsi="Century Gothic" w:cs="Arial"/>
          <w:bCs/>
          <w:sz w:val="22"/>
          <w:szCs w:val="22"/>
        </w:rPr>
        <w:t>del precalentador.</w:t>
      </w:r>
    </w:p>
    <w:p w14:paraId="7D27F62F" w14:textId="77777777" w:rsidR="005824C3" w:rsidRPr="000A7FC0" w:rsidRDefault="005824C3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Temperatura del motor.</w:t>
      </w:r>
    </w:p>
    <w:p w14:paraId="011C62E9" w14:textId="77777777" w:rsidR="005824C3" w:rsidRPr="000A7FC0" w:rsidRDefault="005824C3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Estado en que se encuentran las mangueras de agua del motor y radiador.</w:t>
      </w:r>
    </w:p>
    <w:p w14:paraId="390B459C" w14:textId="77777777" w:rsidR="005824C3" w:rsidRPr="000A7FC0" w:rsidRDefault="005824C3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Estado en que se encuentran las mangueras del </w:t>
      </w:r>
      <w:r w:rsidR="001423A1" w:rsidRPr="000A7FC0">
        <w:rPr>
          <w:rFonts w:ascii="Century Gothic" w:eastAsia="Batang" w:hAnsi="Century Gothic" w:cs="Arial"/>
          <w:bCs/>
          <w:sz w:val="22"/>
          <w:szCs w:val="22"/>
        </w:rPr>
        <w:t>diésel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del motor y tanque de combustible.</w:t>
      </w:r>
    </w:p>
    <w:p w14:paraId="007A37A9" w14:textId="77777777" w:rsidR="005824C3" w:rsidRPr="000A7FC0" w:rsidRDefault="005824C3" w:rsidP="009C6563">
      <w:pPr>
        <w:numPr>
          <w:ilvl w:val="0"/>
          <w:numId w:val="22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Limpieza general del equipo.</w:t>
      </w:r>
    </w:p>
    <w:p w14:paraId="6BB5FFFF" w14:textId="77777777" w:rsidR="005824C3" w:rsidRPr="000A7FC0" w:rsidRDefault="005824C3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402ABCEB" w14:textId="77777777" w:rsidR="005824C3" w:rsidRPr="000A7FC0" w:rsidRDefault="005824C3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Se pondrá en funcionamiento la planta de emergencia en vacío para checar los parámetros de operación del equipo.</w:t>
      </w:r>
    </w:p>
    <w:p w14:paraId="429E5C50" w14:textId="77777777" w:rsidR="005824C3" w:rsidRPr="000A7FC0" w:rsidRDefault="005824C3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</w:p>
    <w:p w14:paraId="504833D7" w14:textId="77777777" w:rsidR="005824C3" w:rsidRPr="000A7FC0" w:rsidRDefault="005824C3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Voltaje generación entre la fase (AB, BC, CA).</w:t>
      </w:r>
    </w:p>
    <w:p w14:paraId="7CF9A395" w14:textId="77777777" w:rsidR="005824C3" w:rsidRPr="000A7FC0" w:rsidRDefault="005824C3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Voltaje de generación</w:t>
      </w:r>
      <w:r w:rsidR="005D12FD" w:rsidRPr="000A7FC0">
        <w:rPr>
          <w:rFonts w:ascii="Century Gothic" w:eastAsia="Batang" w:hAnsi="Century Gothic" w:cs="Arial"/>
          <w:bCs/>
          <w:sz w:val="22"/>
          <w:szCs w:val="22"/>
        </w:rPr>
        <w:t xml:space="preserve"> entre fase y neutro (AN, BN, CN).</w:t>
      </w:r>
    </w:p>
    <w:p w14:paraId="10057B3A" w14:textId="77777777" w:rsidR="005D12FD" w:rsidRPr="000A7FC0" w:rsidRDefault="005D12FD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Voltaje de excitación del regulador (F+, F-)</w:t>
      </w:r>
    </w:p>
    <w:p w14:paraId="3D55095B" w14:textId="77777777" w:rsidR="005D12FD" w:rsidRPr="000A7FC0" w:rsidRDefault="005D12FD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Frecuencia.</w:t>
      </w:r>
    </w:p>
    <w:p w14:paraId="0254C520" w14:textId="77777777" w:rsidR="005D12FD" w:rsidRPr="000A7FC0" w:rsidRDefault="005D12FD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Voltaje de excitación de transformador.</w:t>
      </w:r>
    </w:p>
    <w:p w14:paraId="091B00AB" w14:textId="77777777" w:rsidR="005D12FD" w:rsidRPr="000A7FC0" w:rsidRDefault="005D12FD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Voltaje de salida del alternador.</w:t>
      </w:r>
    </w:p>
    <w:p w14:paraId="6BF561C2" w14:textId="77777777" w:rsidR="005D12FD" w:rsidRPr="000A7FC0" w:rsidRDefault="005D12FD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Fugas de </w:t>
      </w:r>
      <w:r w:rsidR="000E493C" w:rsidRPr="000A7FC0">
        <w:rPr>
          <w:rFonts w:ascii="Century Gothic" w:eastAsia="Batang" w:hAnsi="Century Gothic" w:cs="Arial"/>
          <w:bCs/>
          <w:sz w:val="22"/>
          <w:szCs w:val="22"/>
        </w:rPr>
        <w:t>agua en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el motor y radiador.</w:t>
      </w:r>
    </w:p>
    <w:p w14:paraId="3FB444CE" w14:textId="77777777" w:rsidR="005D12FD" w:rsidRPr="000A7FC0" w:rsidRDefault="005D12FD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Fugas de </w:t>
      </w:r>
      <w:r w:rsidR="00C715F3" w:rsidRPr="000A7FC0">
        <w:rPr>
          <w:rFonts w:ascii="Century Gothic" w:eastAsia="Batang" w:hAnsi="Century Gothic" w:cs="Arial"/>
          <w:bCs/>
          <w:sz w:val="22"/>
          <w:szCs w:val="22"/>
        </w:rPr>
        <w:t>diésel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en el motor, tuberías de alimentación, retorno y tanque de combustible.</w:t>
      </w:r>
    </w:p>
    <w:p w14:paraId="01C06EC7" w14:textId="77777777" w:rsidR="005D12FD" w:rsidRPr="000A7FC0" w:rsidRDefault="005D12FD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Fugas de aceite en el motor.</w:t>
      </w:r>
    </w:p>
    <w:p w14:paraId="4E6676E6" w14:textId="77777777" w:rsidR="005D12FD" w:rsidRPr="000A7FC0" w:rsidRDefault="005D12FD" w:rsidP="009C6563">
      <w:pPr>
        <w:numPr>
          <w:ilvl w:val="0"/>
          <w:numId w:val="23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Fugas de gases en el múltiple de escape, tuberías y silenciador.</w:t>
      </w:r>
    </w:p>
    <w:p w14:paraId="4BEC2EA5" w14:textId="77777777" w:rsidR="005D12FD" w:rsidRPr="000A7FC0" w:rsidRDefault="005D12FD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3EC65FA9" w14:textId="77777777" w:rsidR="005D12FD" w:rsidRPr="000A7FC0" w:rsidRDefault="005D12FD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NOTA: De ser necesario se debe desajustar y corregir los parámetros anteriores.</w:t>
      </w:r>
    </w:p>
    <w:p w14:paraId="5B50A990" w14:textId="77777777" w:rsidR="005D12FD" w:rsidRPr="000A7FC0" w:rsidRDefault="005D12FD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4085EAFB" w14:textId="77777777" w:rsidR="005D12FD" w:rsidRPr="000A7FC0" w:rsidRDefault="005D12FD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Se realizará el ajuste del arranque, paro y protecciones de la planta de emergencia.</w:t>
      </w:r>
    </w:p>
    <w:p w14:paraId="6C9467B6" w14:textId="77777777" w:rsidR="005D12FD" w:rsidRPr="000A7FC0" w:rsidRDefault="005D12FD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</w:p>
    <w:p w14:paraId="145BAABB" w14:textId="77777777" w:rsidR="005D12FD" w:rsidRPr="000A7FC0" w:rsidRDefault="00296AEE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A</w:t>
      </w:r>
      <w:r w:rsidR="005D12FD" w:rsidRPr="000A7FC0">
        <w:rPr>
          <w:rFonts w:ascii="Century Gothic" w:eastAsia="Batang" w:hAnsi="Century Gothic" w:cs="Arial"/>
          <w:bCs/>
          <w:sz w:val="22"/>
          <w:szCs w:val="22"/>
        </w:rPr>
        <w:t>rranque en automático.</w:t>
      </w:r>
    </w:p>
    <w:p w14:paraId="1BB173EB" w14:textId="77777777" w:rsidR="005D12FD" w:rsidRPr="000A7FC0" w:rsidRDefault="005D12FD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Falla de largo tiempo de arranque</w:t>
      </w:r>
    </w:p>
    <w:p w14:paraId="01B8C9C1" w14:textId="77777777" w:rsidR="005D12FD" w:rsidRPr="000A7FC0" w:rsidRDefault="005D12FD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Falla de baja presión de aceite.</w:t>
      </w:r>
    </w:p>
    <w:p w14:paraId="29209A40" w14:textId="77777777" w:rsidR="005D12FD" w:rsidRPr="000A7FC0" w:rsidRDefault="005D12FD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Falla de sobre</w:t>
      </w:r>
      <w:r w:rsidR="00850139" w:rsidRPr="000A7FC0"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>temperatura.</w:t>
      </w:r>
    </w:p>
    <w:p w14:paraId="62CA5860" w14:textId="77777777" w:rsidR="005D12FD" w:rsidRPr="000A7FC0" w:rsidRDefault="005D12FD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Falla de bajo voltaje</w:t>
      </w:r>
    </w:p>
    <w:p w14:paraId="07AD4487" w14:textId="77777777" w:rsidR="005D12FD" w:rsidRPr="000A7FC0" w:rsidRDefault="005D12FD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Falla de alto voltaje</w:t>
      </w:r>
    </w:p>
    <w:p w14:paraId="1D2AA6DE" w14:textId="77777777" w:rsidR="005D12FD" w:rsidRPr="000A7FC0" w:rsidRDefault="005D12FD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Falla de baja velocidad</w:t>
      </w:r>
    </w:p>
    <w:p w14:paraId="0850527E" w14:textId="77777777" w:rsidR="005D12FD" w:rsidRPr="000A7FC0" w:rsidRDefault="005D12FD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Falla de alta velocidad.</w:t>
      </w:r>
    </w:p>
    <w:p w14:paraId="0C7955F6" w14:textId="77777777" w:rsidR="00256088" w:rsidRPr="000A7FC0" w:rsidRDefault="005D12FD" w:rsidP="009C6563">
      <w:pPr>
        <w:numPr>
          <w:ilvl w:val="0"/>
          <w:numId w:val="24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Falla de sobre</w:t>
      </w:r>
      <w:r w:rsidR="00850139" w:rsidRPr="000A7FC0"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r w:rsidR="003466D8" w:rsidRPr="000A7FC0">
        <w:rPr>
          <w:rFonts w:ascii="Century Gothic" w:eastAsia="Batang" w:hAnsi="Century Gothic" w:cs="Arial"/>
          <w:bCs/>
          <w:sz w:val="22"/>
          <w:szCs w:val="22"/>
        </w:rPr>
        <w:t>corriente.</w:t>
      </w:r>
    </w:p>
    <w:p w14:paraId="25E37BF6" w14:textId="77777777" w:rsidR="005D12FD" w:rsidRPr="000A7FC0" w:rsidRDefault="005D12FD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23174BAF" w14:textId="77777777" w:rsidR="005D12FD" w:rsidRPr="000A7FC0" w:rsidRDefault="00014C73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 xml:space="preserve">Cuando sea </w:t>
      </w:r>
      <w:r w:rsidR="00587FC1" w:rsidRPr="000A7FC0">
        <w:rPr>
          <w:rFonts w:ascii="Century Gothic" w:eastAsia="Batang" w:hAnsi="Century Gothic" w:cs="Arial"/>
          <w:b/>
          <w:bCs/>
          <w:sz w:val="22"/>
          <w:szCs w:val="22"/>
        </w:rPr>
        <w:t>posible,</w:t>
      </w: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 xml:space="preserve"> se</w:t>
      </w:r>
      <w:r w:rsidR="005D12FD" w:rsidRPr="000A7FC0">
        <w:rPr>
          <w:rFonts w:ascii="Century Gothic" w:eastAsia="Batang" w:hAnsi="Century Gothic" w:cs="Arial"/>
          <w:b/>
          <w:bCs/>
          <w:sz w:val="22"/>
          <w:szCs w:val="22"/>
        </w:rPr>
        <w:t xml:space="preserve"> realizar</w:t>
      </w: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á</w:t>
      </w:r>
      <w:r w:rsidR="005D12FD" w:rsidRPr="000A7FC0">
        <w:rPr>
          <w:rFonts w:ascii="Century Gothic" w:eastAsia="Batang" w:hAnsi="Century Gothic" w:cs="Arial"/>
          <w:b/>
          <w:bCs/>
          <w:sz w:val="22"/>
          <w:szCs w:val="22"/>
        </w:rPr>
        <w:t xml:space="preserve"> una prueba con carga simulando una ausencia de alimentación (C.F.E).</w:t>
      </w:r>
    </w:p>
    <w:p w14:paraId="4FBF3EB5" w14:textId="77777777" w:rsidR="005D12FD" w:rsidRPr="000A7FC0" w:rsidRDefault="005D12FD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76D58030" w14:textId="77777777" w:rsidR="005D12FD" w:rsidRPr="000A7FC0" w:rsidRDefault="005D12FD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Tablero de transferencia hace su cambio de normal a emergencia para que la planta de emergencia tome la carga.</w:t>
      </w:r>
    </w:p>
    <w:p w14:paraId="77A3BADA" w14:textId="77777777" w:rsidR="005D12FD" w:rsidRPr="000A7FC0" w:rsidRDefault="005D12FD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Checar el tiempo que tarda en tomar la carga la planta de emergencia</w:t>
      </w:r>
      <w:r w:rsidR="00801320" w:rsidRPr="000A7FC0">
        <w:rPr>
          <w:rFonts w:ascii="Century Gothic" w:eastAsia="Batang" w:hAnsi="Century Gothic" w:cs="Arial"/>
          <w:bCs/>
          <w:sz w:val="22"/>
          <w:szCs w:val="22"/>
        </w:rPr>
        <w:t>.</w:t>
      </w:r>
    </w:p>
    <w:p w14:paraId="5F44427E" w14:textId="77777777" w:rsidR="00801320" w:rsidRPr="000A7FC0" w:rsidRDefault="00801320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Voltaje de salida entre fases (AB, BC, CA).</w:t>
      </w:r>
    </w:p>
    <w:p w14:paraId="58B7BB02" w14:textId="77777777" w:rsidR="00801320" w:rsidRPr="000A7FC0" w:rsidRDefault="00801320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Voltaje se salida entre fase y neutro (AN, BN, CN).</w:t>
      </w:r>
    </w:p>
    <w:p w14:paraId="1B8E1066" w14:textId="77777777" w:rsidR="00801320" w:rsidRPr="000A7FC0" w:rsidRDefault="00801320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Frecuencia.</w:t>
      </w:r>
    </w:p>
    <w:p w14:paraId="3417D646" w14:textId="77777777" w:rsidR="00801320" w:rsidRPr="000A7FC0" w:rsidRDefault="00801320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Corriente por fase</w:t>
      </w:r>
      <w:r w:rsidR="000E493C"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>(A,</w:t>
      </w:r>
      <w:r w:rsidR="000E493C"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>B,</w:t>
      </w:r>
      <w:r w:rsidR="000E493C"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>C).</w:t>
      </w:r>
    </w:p>
    <w:p w14:paraId="1183FE45" w14:textId="77777777" w:rsidR="00801320" w:rsidRPr="000A7FC0" w:rsidRDefault="00801320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Corriente neutro.</w:t>
      </w:r>
    </w:p>
    <w:p w14:paraId="0FBE5172" w14:textId="77777777" w:rsidR="00801320" w:rsidRPr="000A7FC0" w:rsidRDefault="00801320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Corriente tierra.</w:t>
      </w:r>
    </w:p>
    <w:p w14:paraId="1347349E" w14:textId="77777777" w:rsidR="00801320" w:rsidRPr="000A7FC0" w:rsidRDefault="00801320" w:rsidP="009C6563">
      <w:pPr>
        <w:numPr>
          <w:ilvl w:val="0"/>
          <w:numId w:val="25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lastRenderedPageBreak/>
        <w:t xml:space="preserve">Porcentaje de carga (KW) al que </w:t>
      </w:r>
      <w:r w:rsidR="00A8567F" w:rsidRPr="000A7FC0">
        <w:rPr>
          <w:rFonts w:ascii="Century Gothic" w:eastAsia="Batang" w:hAnsi="Century Gothic" w:cs="Arial"/>
          <w:bCs/>
          <w:sz w:val="22"/>
          <w:szCs w:val="22"/>
        </w:rPr>
        <w:t>está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operando el equipo.</w:t>
      </w:r>
    </w:p>
    <w:p w14:paraId="2DBA5FB3" w14:textId="77777777" w:rsidR="00801320" w:rsidRPr="000A7FC0" w:rsidRDefault="00801320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61F628BF" w14:textId="77777777" w:rsidR="00801320" w:rsidRPr="000A7FC0" w:rsidRDefault="00801320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Regresar la energía de alimentación (CFE). Para que el tablero de transferencia regrese a normal</w:t>
      </w:r>
      <w:r w:rsidR="000E493C">
        <w:rPr>
          <w:rFonts w:ascii="Century Gothic" w:eastAsia="Batang" w:hAnsi="Century Gothic" w:cs="Arial"/>
          <w:b/>
          <w:bCs/>
          <w:sz w:val="22"/>
          <w:szCs w:val="22"/>
        </w:rPr>
        <w:t>,</w:t>
      </w: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 xml:space="preserve"> checar.</w:t>
      </w:r>
    </w:p>
    <w:p w14:paraId="3B86159B" w14:textId="77777777" w:rsidR="00801320" w:rsidRPr="000A7FC0" w:rsidRDefault="00801320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21F7BC91" w14:textId="77777777" w:rsidR="00801320" w:rsidRPr="000A7FC0" w:rsidRDefault="000E493C" w:rsidP="009C6563">
      <w:pPr>
        <w:numPr>
          <w:ilvl w:val="0"/>
          <w:numId w:val="26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>
        <w:rPr>
          <w:rFonts w:ascii="Century Gothic" w:eastAsia="Batang" w:hAnsi="Century Gothic" w:cs="Arial"/>
          <w:bCs/>
          <w:sz w:val="22"/>
          <w:szCs w:val="22"/>
        </w:rPr>
        <w:t>T</w:t>
      </w:r>
      <w:r w:rsidR="00801320" w:rsidRPr="000A7FC0">
        <w:rPr>
          <w:rFonts w:ascii="Century Gothic" w:eastAsia="Batang" w:hAnsi="Century Gothic" w:cs="Arial"/>
          <w:bCs/>
          <w:sz w:val="22"/>
          <w:szCs w:val="22"/>
        </w:rPr>
        <w:t>iempo de transferencia.</w:t>
      </w:r>
    </w:p>
    <w:p w14:paraId="3809D7AD" w14:textId="77777777" w:rsidR="00801320" w:rsidRPr="000A7FC0" w:rsidRDefault="00801320" w:rsidP="009C6563">
      <w:pPr>
        <w:numPr>
          <w:ilvl w:val="0"/>
          <w:numId w:val="26"/>
        </w:num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Tiempo de desfogue.</w:t>
      </w:r>
    </w:p>
    <w:p w14:paraId="6CA3C8E2" w14:textId="77777777" w:rsidR="00801320" w:rsidRPr="000A7FC0" w:rsidRDefault="00801320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625E796A" w14:textId="77777777" w:rsidR="00801320" w:rsidRPr="000A7FC0" w:rsidRDefault="00801320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Realizar un reporte de servicio</w:t>
      </w:r>
      <w:r w:rsidR="00850139" w:rsidRPr="000A7FC0">
        <w:rPr>
          <w:rFonts w:ascii="Century Gothic" w:eastAsia="Batang" w:hAnsi="Century Gothic" w:cs="Arial"/>
          <w:b/>
          <w:bCs/>
          <w:sz w:val="22"/>
          <w:szCs w:val="22"/>
        </w:rPr>
        <w:t xml:space="preserve"> y anotación en la bitácora correspondiente a cada equipo por inmueble</w:t>
      </w:r>
    </w:p>
    <w:p w14:paraId="5D64C653" w14:textId="77777777" w:rsidR="003C0F1B" w:rsidRPr="000A7FC0" w:rsidRDefault="003C0F1B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7E1950CA" w14:textId="77777777" w:rsidR="003C0F1B" w:rsidRDefault="003C0F1B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En caso de que </w:t>
      </w:r>
      <w:r w:rsidR="000E493C">
        <w:rPr>
          <w:rFonts w:ascii="Century Gothic" w:eastAsia="Batang" w:hAnsi="Century Gothic" w:cs="Arial"/>
          <w:bCs/>
          <w:sz w:val="22"/>
          <w:szCs w:val="22"/>
        </w:rPr>
        <w:t xml:space="preserve">la Sala Regional Especializada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instale nuevos </w:t>
      </w:r>
      <w:r w:rsidR="00EA4D60" w:rsidRPr="000A7FC0">
        <w:rPr>
          <w:rFonts w:ascii="Century Gothic" w:eastAsia="Batang" w:hAnsi="Century Gothic" w:cs="Arial"/>
          <w:bCs/>
          <w:sz w:val="22"/>
          <w:szCs w:val="22"/>
        </w:rPr>
        <w:t>equipos de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</w:t>
      </w:r>
      <w:r w:rsidR="00801320" w:rsidRPr="000A7FC0">
        <w:rPr>
          <w:rFonts w:ascii="Century Gothic" w:eastAsia="Batang" w:hAnsi="Century Gothic" w:cs="Arial"/>
          <w:bCs/>
          <w:sz w:val="22"/>
          <w:szCs w:val="22"/>
        </w:rPr>
        <w:t>plantas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de energía e</w:t>
      </w:r>
      <w:r w:rsidR="00592C21" w:rsidRPr="000A7FC0">
        <w:rPr>
          <w:rFonts w:ascii="Century Gothic" w:eastAsia="Batang" w:hAnsi="Century Gothic" w:cs="Arial"/>
          <w:bCs/>
          <w:sz w:val="22"/>
          <w:szCs w:val="22"/>
        </w:rPr>
        <w:t>l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>éctrica durante la vigencia de este contrato, se procederá a formular por el Prestador, un presupuesto por el tiem</w:t>
      </w:r>
      <w:r w:rsidR="0013031B" w:rsidRPr="000A7FC0">
        <w:rPr>
          <w:rFonts w:ascii="Century Gothic" w:eastAsia="Batang" w:hAnsi="Century Gothic" w:cs="Arial"/>
          <w:bCs/>
          <w:sz w:val="22"/>
          <w:szCs w:val="22"/>
        </w:rPr>
        <w:t>po pendiente de su terminación y en su caso considerarlo para su mantenimiento, conforme al procedimiento que para tal efecto se autorice.</w:t>
      </w:r>
    </w:p>
    <w:p w14:paraId="2C3D5224" w14:textId="77777777" w:rsidR="000E493C" w:rsidRDefault="000E493C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4784F330" w14:textId="77777777" w:rsidR="000E493C" w:rsidRPr="000A7FC0" w:rsidRDefault="000E493C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A7FC0">
        <w:rPr>
          <w:rFonts w:ascii="Century Gothic" w:hAnsi="Century Gothic" w:cs="Arial"/>
          <w:b/>
          <w:sz w:val="22"/>
          <w:szCs w:val="22"/>
        </w:rPr>
        <w:t>LLAMADAS DE EMERGENCIA.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Igualmente </w:t>
      </w:r>
      <w:r w:rsidRPr="000E493C">
        <w:rPr>
          <w:rFonts w:ascii="Century Gothic" w:hAnsi="Century Gothic" w:cs="Arial"/>
          <w:color w:val="000000"/>
          <w:sz w:val="22"/>
          <w:szCs w:val="22"/>
        </w:rPr>
        <w:t xml:space="preserve">la Sala Regional Especializada </w:t>
      </w:r>
      <w:r w:rsidRPr="000A7FC0">
        <w:rPr>
          <w:rFonts w:ascii="Century Gothic" w:hAnsi="Century Gothic" w:cs="Arial"/>
          <w:color w:val="000000"/>
          <w:sz w:val="22"/>
          <w:szCs w:val="22"/>
        </w:rPr>
        <w:t>podrá requerir d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prestador durante la vigencia d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contrato las 24 horas d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día, sin ningún cargo extra, 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mantenimiento correctivo y este se obliga a realizarlo en un tiempo máximo de respuesta en sitio de 2 horas a partir de la comunicación que </w:t>
      </w:r>
      <w:r>
        <w:rPr>
          <w:rFonts w:ascii="Century Gothic" w:hAnsi="Century Gothic" w:cs="Arial"/>
          <w:color w:val="000000"/>
          <w:sz w:val="22"/>
          <w:szCs w:val="22"/>
        </w:rPr>
        <w:t>la Delegación Administrativa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le haga, en caso necesario de sustituir o remplazar partes dañadas o desgastadas, 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prestador  procederá de inmediato a presentar 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presupuesto para su respectiva autorización por parte de la </w:t>
      </w:r>
      <w:r w:rsidRPr="000E493C">
        <w:rPr>
          <w:rFonts w:ascii="Century Gothic" w:hAnsi="Century Gothic" w:cs="Arial"/>
          <w:color w:val="000000"/>
          <w:sz w:val="22"/>
          <w:szCs w:val="22"/>
        </w:rPr>
        <w:t>Delegación Administrativa.</w:t>
      </w:r>
    </w:p>
    <w:p w14:paraId="5272568C" w14:textId="77777777" w:rsidR="000E493C" w:rsidRDefault="000E493C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076F1819" w14:textId="77777777" w:rsidR="000E493C" w:rsidRPr="000A7FC0" w:rsidRDefault="000E493C" w:rsidP="009C6563">
      <w:pPr>
        <w:ind w:left="340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A7FC0">
        <w:rPr>
          <w:rFonts w:ascii="Century Gothic" w:hAnsi="Century Gothic" w:cs="Arial"/>
          <w:b/>
          <w:color w:val="000000"/>
          <w:sz w:val="22"/>
          <w:szCs w:val="22"/>
        </w:rPr>
        <w:t>SOPORTE TÉCNICO.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Se solicita se cotice la asesoría de un técnico especializado para cubrir eventos del Tribunal, en donde se encuentre operando alguno de los equipos a fin de contar con el personal especializado de manera inmediata para dar solución a cualquier falla que llegue presentarse en el momento de la duración de evento de gran importancia, con una estadía máximo de 10 horas por </w:t>
      </w:r>
      <w:r w:rsidR="00837C52">
        <w:rPr>
          <w:rFonts w:ascii="Century Gothic" w:hAnsi="Century Gothic" w:cs="Arial"/>
          <w:color w:val="000000"/>
          <w:sz w:val="22"/>
          <w:szCs w:val="22"/>
        </w:rPr>
        <w:t>3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ocasiones durante la vigencia del contrato, el cual se facturará y pagará por separado  por cada ocasión requerida, previa autorización de la </w:t>
      </w:r>
      <w:r w:rsidR="007028B1">
        <w:rPr>
          <w:rFonts w:ascii="Century Gothic" w:hAnsi="Century Gothic" w:cs="Arial"/>
          <w:color w:val="000000"/>
          <w:sz w:val="22"/>
          <w:szCs w:val="22"/>
        </w:rPr>
        <w:t>Delegación Administrativa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, el costo del servicio no variará  durante la vigencia del contrato, la </w:t>
      </w:r>
      <w:r w:rsidR="007028B1">
        <w:rPr>
          <w:rFonts w:ascii="Century Gothic" w:hAnsi="Century Gothic" w:cs="Arial"/>
          <w:color w:val="000000"/>
          <w:sz w:val="22"/>
          <w:szCs w:val="22"/>
        </w:rPr>
        <w:t>Delegación Administrativa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es la única facultada para solicitar dicho servicio.</w:t>
      </w:r>
    </w:p>
    <w:p w14:paraId="4BFC2563" w14:textId="77777777" w:rsidR="000E493C" w:rsidRDefault="000E493C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23332A8C" w14:textId="77777777" w:rsidR="001671C4" w:rsidRPr="000A7FC0" w:rsidRDefault="001671C4" w:rsidP="009C6563">
      <w:pPr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0A7FC0">
        <w:rPr>
          <w:rFonts w:ascii="Century Gothic" w:hAnsi="Century Gothic" w:cs="Arial"/>
          <w:b/>
          <w:color w:val="000000"/>
          <w:sz w:val="22"/>
          <w:szCs w:val="22"/>
        </w:rPr>
        <w:t>GARANTÍA DEL SERVICIO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. </w:t>
      </w:r>
      <w:r w:rsidRPr="000A7FC0">
        <w:rPr>
          <w:rFonts w:ascii="Century Gothic" w:hAnsi="Century Gothic" w:cs="Arial"/>
          <w:iCs/>
          <w:spacing w:val="-3"/>
          <w:sz w:val="22"/>
          <w:szCs w:val="22"/>
        </w:rPr>
        <w:t>Se requiere que todos los mantenimientos preventivos y correctivos tengan una garantía en mano de obra de 30 días y en refacciones por lo menos de 30 días, lo cual deberá manifestarlo por escrito.</w:t>
      </w:r>
    </w:p>
    <w:p w14:paraId="7CF3FFB1" w14:textId="77777777" w:rsidR="001671C4" w:rsidRPr="000A7FC0" w:rsidRDefault="001671C4" w:rsidP="009C6563">
      <w:pPr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37A52A67" w14:textId="77777777" w:rsidR="002C228A" w:rsidRPr="000A7FC0" w:rsidRDefault="002C228A" w:rsidP="009C6563">
      <w:pPr>
        <w:ind w:left="340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56588A0F" w14:textId="77777777" w:rsidR="002C228A" w:rsidRPr="00734D93" w:rsidRDefault="004E2ED9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  <w:r w:rsidRPr="00734D93">
        <w:rPr>
          <w:rFonts w:ascii="Century Gothic" w:hAnsi="Century Gothic" w:cs="Arial"/>
          <w:b/>
          <w:sz w:val="22"/>
          <w:szCs w:val="22"/>
        </w:rPr>
        <w:t xml:space="preserve">MANTENIMIENTO MAYOR </w:t>
      </w:r>
      <w:r w:rsidR="001671C4">
        <w:rPr>
          <w:rFonts w:ascii="Century Gothic" w:hAnsi="Century Gothic" w:cs="Arial"/>
          <w:b/>
          <w:sz w:val="22"/>
          <w:szCs w:val="22"/>
        </w:rPr>
        <w:t xml:space="preserve">A LA </w:t>
      </w:r>
      <w:r w:rsidRPr="00734D93">
        <w:rPr>
          <w:rFonts w:ascii="Century Gothic" w:hAnsi="Century Gothic" w:cs="Arial"/>
          <w:b/>
          <w:sz w:val="22"/>
          <w:szCs w:val="22"/>
        </w:rPr>
        <w:t>PLANTA DE EMERGENCIA</w:t>
      </w:r>
      <w:r w:rsidR="001671C4">
        <w:rPr>
          <w:rFonts w:ascii="Century Gothic" w:hAnsi="Century Gothic" w:cs="Arial"/>
          <w:b/>
          <w:sz w:val="22"/>
          <w:szCs w:val="22"/>
        </w:rPr>
        <w:t xml:space="preserve">. </w:t>
      </w:r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 xml:space="preserve">Igualmente </w:t>
      </w:r>
      <w:r w:rsidR="001671C4" w:rsidRPr="001671C4">
        <w:rPr>
          <w:rFonts w:ascii="Century Gothic" w:hAnsi="Century Gothic" w:cs="Arial"/>
          <w:color w:val="000000"/>
          <w:sz w:val="22"/>
          <w:szCs w:val="22"/>
        </w:rPr>
        <w:t xml:space="preserve">la Sala Regional Especializada </w:t>
      </w:r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>podrá requerir d</w:t>
      </w:r>
      <w:smartTag w:uri="urn:schemas-microsoft-com:office:smarttags" w:element="PersonName">
        <w:r w:rsidR="002C228A" w:rsidRPr="00734D93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 xml:space="preserve"> prestador durante la vigencia </w:t>
      </w:r>
      <w:r w:rsidR="00566025" w:rsidRPr="00734D93">
        <w:rPr>
          <w:rFonts w:ascii="Century Gothic" w:hAnsi="Century Gothic" w:cs="Arial"/>
          <w:color w:val="000000"/>
          <w:sz w:val="22"/>
          <w:szCs w:val="22"/>
        </w:rPr>
        <w:t>del contrato,</w:t>
      </w:r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1671C4">
        <w:rPr>
          <w:rFonts w:ascii="Century Gothic" w:hAnsi="Century Gothic" w:cs="Arial"/>
          <w:color w:val="000000"/>
          <w:sz w:val="22"/>
          <w:szCs w:val="22"/>
        </w:rPr>
        <w:t>2</w:t>
      </w:r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 xml:space="preserve"> servicios de mantenimiento mayor</w:t>
      </w:r>
      <w:r w:rsidR="00661396" w:rsidRPr="00734D93">
        <w:rPr>
          <w:rFonts w:ascii="Century Gothic" w:hAnsi="Century Gothic" w:cs="Arial"/>
          <w:b/>
          <w:color w:val="000000"/>
          <w:sz w:val="22"/>
          <w:szCs w:val="22"/>
        </w:rPr>
        <w:t>,</w:t>
      </w:r>
      <w:r w:rsidR="00661396" w:rsidRPr="00734D93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1671C4">
        <w:rPr>
          <w:rFonts w:ascii="Century Gothic" w:hAnsi="Century Gothic" w:cs="Arial"/>
          <w:color w:val="000000"/>
          <w:sz w:val="22"/>
          <w:szCs w:val="22"/>
        </w:rPr>
        <w:t>los cuales</w:t>
      </w:r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 xml:space="preserve"> incluye</w:t>
      </w:r>
      <w:r w:rsidR="001671C4">
        <w:rPr>
          <w:rFonts w:ascii="Century Gothic" w:hAnsi="Century Gothic" w:cs="Arial"/>
          <w:color w:val="000000"/>
          <w:sz w:val="22"/>
          <w:szCs w:val="22"/>
        </w:rPr>
        <w:t>n</w:t>
      </w:r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 xml:space="preserve"> mano de obra y los materiales necesarios tales como filtros de aire, de aceite, de combustible, separador de agua,</w:t>
      </w:r>
      <w:r w:rsidRPr="00734D93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 xml:space="preserve">aceite, anticongelante de acuerdo a la marca, modelo y capacidad de cada planta, según las recomendaciones del fabricante, estos servicios se realizaran </w:t>
      </w:r>
      <w:r w:rsidR="00734D93" w:rsidRPr="00734D93">
        <w:rPr>
          <w:rFonts w:ascii="Century Gothic" w:hAnsi="Century Gothic" w:cs="Arial"/>
          <w:color w:val="000000"/>
          <w:sz w:val="22"/>
          <w:szCs w:val="22"/>
        </w:rPr>
        <w:t>de acuerdo a las necesidades de</w:t>
      </w:r>
      <w:r w:rsidR="00064781">
        <w:rPr>
          <w:rFonts w:ascii="Century Gothic" w:hAnsi="Century Gothic" w:cs="Arial"/>
          <w:color w:val="000000"/>
          <w:sz w:val="22"/>
          <w:szCs w:val="22"/>
        </w:rPr>
        <w:t xml:space="preserve"> la Sala Regional Especializada</w:t>
      </w:r>
      <w:r w:rsidR="00734D93" w:rsidRPr="00734D93">
        <w:rPr>
          <w:rFonts w:ascii="Century Gothic" w:hAnsi="Century Gothic" w:cs="Arial"/>
          <w:color w:val="000000"/>
          <w:sz w:val="22"/>
          <w:szCs w:val="22"/>
        </w:rPr>
        <w:t xml:space="preserve"> y se solicitarán a través de la </w:t>
      </w:r>
      <w:r w:rsidR="00064781">
        <w:rPr>
          <w:rFonts w:ascii="Century Gothic" w:hAnsi="Century Gothic" w:cs="Arial"/>
          <w:color w:val="000000"/>
          <w:sz w:val="22"/>
          <w:szCs w:val="22"/>
        </w:rPr>
        <w:t xml:space="preserve">Delegación </w:t>
      </w:r>
      <w:r w:rsidR="00064781">
        <w:rPr>
          <w:rFonts w:ascii="Century Gothic" w:hAnsi="Century Gothic" w:cs="Arial"/>
          <w:color w:val="000000"/>
          <w:sz w:val="22"/>
          <w:szCs w:val="22"/>
        </w:rPr>
        <w:lastRenderedPageBreak/>
        <w:t>Administrativa</w:t>
      </w:r>
      <w:r w:rsidR="002C228A" w:rsidRPr="00734D93">
        <w:rPr>
          <w:rFonts w:ascii="Century Gothic" w:hAnsi="Century Gothic" w:cs="Arial"/>
          <w:color w:val="000000"/>
          <w:sz w:val="22"/>
          <w:szCs w:val="22"/>
        </w:rPr>
        <w:t>. Por tal motivo debe de incluir en el modelo de propuesta económica los costos de mano de obra y materiales</w:t>
      </w:r>
      <w:r w:rsidR="00064781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1DB536B8" w14:textId="77777777" w:rsidR="006067B0" w:rsidRDefault="006067B0" w:rsidP="009C6563">
      <w:pPr>
        <w:ind w:left="340" w:right="-62"/>
        <w:jc w:val="both"/>
        <w:rPr>
          <w:rFonts w:ascii="Century Gothic" w:hAnsi="Century Gothic" w:cs="Arial"/>
          <w:b/>
          <w:color w:val="000000"/>
          <w:spacing w:val="2"/>
          <w:sz w:val="22"/>
          <w:szCs w:val="22"/>
        </w:rPr>
      </w:pPr>
    </w:p>
    <w:p w14:paraId="4C00FF71" w14:textId="77777777" w:rsidR="00064781" w:rsidRPr="000A7FC0" w:rsidRDefault="00064781" w:rsidP="009C6563">
      <w:pPr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FORMA DE PAGO.</w:t>
      </w:r>
      <w:r>
        <w:rPr>
          <w:rFonts w:ascii="Century Gothic" w:eastAsia="Batang" w:hAnsi="Century Gothic" w:cs="Arial"/>
          <w:b/>
          <w:bCs/>
          <w:sz w:val="22"/>
          <w:szCs w:val="22"/>
        </w:rPr>
        <w:t xml:space="preserve"> </w:t>
      </w:r>
      <w:r w:rsidRPr="000A7FC0">
        <w:rPr>
          <w:rFonts w:ascii="Century Gothic" w:hAnsi="Century Gothic" w:cs="Arial"/>
          <w:iCs/>
          <w:spacing w:val="-3"/>
          <w:sz w:val="22"/>
          <w:szCs w:val="22"/>
        </w:rPr>
        <w:t>El pago se efectuará en moneda nacional.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El Tribunal realizará pagos una vez realizado el servicio dentro de los 15 días hábiles posteriores al </w:t>
      </w:r>
      <w:r>
        <w:rPr>
          <w:rFonts w:ascii="Century Gothic" w:eastAsia="Batang" w:hAnsi="Century Gothic" w:cs="Arial"/>
          <w:bCs/>
          <w:sz w:val="22"/>
          <w:szCs w:val="22"/>
        </w:rPr>
        <w:t>bimestre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que corresponda cada servicio, previa presentación de la factura correspondiente, que cumpla con los requisitos fiscales y administrativos que se requieran, así como a satisfacción de la </w:t>
      </w:r>
      <w:r>
        <w:rPr>
          <w:rFonts w:ascii="Century Gothic" w:eastAsia="Batang" w:hAnsi="Century Gothic" w:cs="Arial"/>
          <w:bCs/>
          <w:sz w:val="22"/>
          <w:szCs w:val="22"/>
        </w:rPr>
        <w:t>Delegación Administrativa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por los servicios realizados.</w:t>
      </w:r>
    </w:p>
    <w:p w14:paraId="5D5480A5" w14:textId="77777777" w:rsidR="00064781" w:rsidRPr="000A7FC0" w:rsidRDefault="00064781" w:rsidP="009C6563">
      <w:pPr>
        <w:ind w:left="340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0DD817AE" w14:textId="77777777" w:rsidR="00064781" w:rsidRPr="000A7FC0" w:rsidRDefault="00064781" w:rsidP="009C6563">
      <w:pPr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0A7FC0">
        <w:rPr>
          <w:rFonts w:ascii="Century Gothic" w:hAnsi="Century Gothic" w:cs="Arial"/>
          <w:b/>
          <w:iCs/>
          <w:spacing w:val="-3"/>
          <w:sz w:val="22"/>
          <w:szCs w:val="22"/>
        </w:rPr>
        <w:t>HERRAMIENTAS Y UTENSILIOS DE TRABAJO</w:t>
      </w:r>
      <w:r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. </w:t>
      </w:r>
      <w:r w:rsidRPr="000A7FC0">
        <w:rPr>
          <w:rFonts w:ascii="Century Gothic" w:hAnsi="Century Gothic" w:cs="Arial"/>
          <w:iCs/>
          <w:spacing w:val="-3"/>
          <w:sz w:val="22"/>
          <w:szCs w:val="22"/>
        </w:rPr>
        <w:t xml:space="preserve">La empresa proporcionara a su personal uniformes que identifique el nombre de la empresa, así como credencial de identificación. </w:t>
      </w:r>
    </w:p>
    <w:p w14:paraId="36112A9B" w14:textId="77777777" w:rsidR="00064781" w:rsidRPr="000A7FC0" w:rsidRDefault="00064781" w:rsidP="009C6563">
      <w:pPr>
        <w:tabs>
          <w:tab w:val="left" w:pos="-720"/>
          <w:tab w:val="left" w:pos="3647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4B9C3F38" w14:textId="77777777" w:rsidR="00064781" w:rsidRDefault="00064781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0A7FC0">
        <w:rPr>
          <w:rFonts w:ascii="Century Gothic" w:hAnsi="Century Gothic" w:cs="Arial"/>
          <w:iCs/>
          <w:spacing w:val="-3"/>
          <w:sz w:val="22"/>
          <w:szCs w:val="22"/>
        </w:rPr>
        <w:t>El prestador de servicios deberá adjuntar en su propuesta, una carta compromiso que</w:t>
      </w:r>
      <w:r w:rsidR="00A211EF">
        <w:rPr>
          <w:rFonts w:ascii="Century Gothic" w:hAnsi="Century Gothic" w:cs="Arial"/>
          <w:iCs/>
          <w:spacing w:val="-3"/>
          <w:sz w:val="22"/>
          <w:szCs w:val="22"/>
        </w:rPr>
        <w:t>,</w:t>
      </w:r>
      <w:r w:rsidRPr="000A7FC0">
        <w:rPr>
          <w:rFonts w:ascii="Century Gothic" w:hAnsi="Century Gothic" w:cs="Arial"/>
          <w:iCs/>
          <w:spacing w:val="-3"/>
          <w:sz w:val="22"/>
          <w:szCs w:val="22"/>
        </w:rPr>
        <w:t xml:space="preserve"> de resultar adjudicado, proporcionará a su personal el equipo de higiene y seguridad para los trabajos a realizarse en áreas confinadas o de altura, así como para el manejo de herramientas de trabajo y equipo de seguridad tales como: guantes, lentes de protección, fajas, tapones auditivos, arneses, líneas de vida, cubre bocas, </w:t>
      </w:r>
      <w:r w:rsidR="00A211EF">
        <w:rPr>
          <w:rFonts w:ascii="Century Gothic" w:hAnsi="Century Gothic" w:cs="Arial"/>
          <w:iCs/>
          <w:spacing w:val="-3"/>
          <w:sz w:val="22"/>
          <w:szCs w:val="22"/>
        </w:rPr>
        <w:t>mascarillas, casco, botas, etc.</w:t>
      </w:r>
    </w:p>
    <w:p w14:paraId="4432290D" w14:textId="77777777" w:rsidR="00A211EF" w:rsidRDefault="00A211EF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535DAC2A" w14:textId="77777777" w:rsidR="00A211EF" w:rsidRDefault="00A211EF" w:rsidP="009C6563">
      <w:pPr>
        <w:ind w:left="340" w:right="-62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A7FC0">
        <w:rPr>
          <w:rFonts w:ascii="Century Gothic" w:hAnsi="Century Gothic" w:cs="Arial"/>
          <w:b/>
          <w:iCs/>
          <w:spacing w:val="-3"/>
          <w:sz w:val="22"/>
          <w:szCs w:val="22"/>
        </w:rPr>
        <w:t>MANTENIMIENTO CORRECTIVO.</w:t>
      </w:r>
      <w:r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 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En 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caso d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mantenimiento correctivo 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servicio incluye 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costo de la mano de obra para llevarlo a cabo, las refacciones que se determinen como necesarias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deberán ser anotadas en primera instancia en la bitácora d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servicio, una vez justificada su necesidad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se cotizarán de acuerdo a los </w:t>
      </w:r>
      <w:r w:rsidRPr="000A7FC0">
        <w:rPr>
          <w:rFonts w:ascii="Century Gothic" w:hAnsi="Century Gothic" w:cs="Arial"/>
          <w:color w:val="000000"/>
          <w:sz w:val="22"/>
          <w:szCs w:val="22"/>
        </w:rPr>
        <w:t>precios d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z w:val="22"/>
            <w:szCs w:val="22"/>
          </w:rPr>
          <w:t>el</w:t>
        </w:r>
      </w:smartTag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mercado y se facturarán y pagaran por separado, previa autorización de la D</w:t>
      </w:r>
      <w:r>
        <w:rPr>
          <w:rFonts w:ascii="Century Gothic" w:hAnsi="Century Gothic" w:cs="Arial"/>
          <w:color w:val="000000"/>
          <w:sz w:val="22"/>
          <w:szCs w:val="22"/>
        </w:rPr>
        <w:t>elegación Administrativa</w:t>
      </w:r>
      <w:r w:rsidRPr="000A7FC0">
        <w:rPr>
          <w:rFonts w:ascii="Century Gothic" w:hAnsi="Century Gothic" w:cs="Arial"/>
          <w:color w:val="000000"/>
          <w:sz w:val="22"/>
          <w:szCs w:val="22"/>
        </w:rPr>
        <w:t xml:space="preserve"> y de la verificación de la suficienc</w:t>
      </w:r>
      <w:r>
        <w:rPr>
          <w:rFonts w:ascii="Century Gothic" w:hAnsi="Century Gothic" w:cs="Arial"/>
          <w:color w:val="000000"/>
          <w:sz w:val="22"/>
          <w:szCs w:val="22"/>
        </w:rPr>
        <w:t>ia presupuestal correspondiente.</w:t>
      </w:r>
    </w:p>
    <w:p w14:paraId="4BA2BC4C" w14:textId="77777777" w:rsidR="00A211EF" w:rsidRPr="000A7FC0" w:rsidRDefault="00A211EF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</w:p>
    <w:p w14:paraId="3D1E7ECF" w14:textId="77777777" w:rsidR="00661396" w:rsidRPr="000A7FC0" w:rsidRDefault="00661396" w:rsidP="009C6563">
      <w:pPr>
        <w:ind w:left="340"/>
        <w:jc w:val="both"/>
        <w:rPr>
          <w:rFonts w:ascii="Century Gothic" w:hAnsi="Century Gothic" w:cs="Arial"/>
          <w:sz w:val="22"/>
          <w:szCs w:val="22"/>
        </w:rPr>
      </w:pPr>
      <w:r w:rsidRPr="000A7FC0">
        <w:rPr>
          <w:rFonts w:ascii="Century Gothic" w:hAnsi="Century Gothic" w:cs="Arial"/>
          <w:sz w:val="22"/>
          <w:szCs w:val="22"/>
        </w:rPr>
        <w:t xml:space="preserve">La </w:t>
      </w:r>
      <w:r w:rsidR="00A211EF" w:rsidRPr="00A211EF">
        <w:rPr>
          <w:rFonts w:ascii="Century Gothic" w:hAnsi="Century Gothic" w:cs="Arial"/>
          <w:sz w:val="22"/>
          <w:szCs w:val="22"/>
        </w:rPr>
        <w:t>Delegación Administrativa</w:t>
      </w:r>
      <w:r w:rsidRPr="00A211EF">
        <w:rPr>
          <w:rFonts w:ascii="Century Gothic" w:hAnsi="Century Gothic" w:cs="Arial"/>
          <w:sz w:val="22"/>
          <w:szCs w:val="22"/>
        </w:rPr>
        <w:t>,</w:t>
      </w:r>
      <w:r w:rsidRPr="000A7FC0">
        <w:rPr>
          <w:rFonts w:ascii="Century Gothic" w:hAnsi="Century Gothic" w:cs="Arial"/>
          <w:sz w:val="22"/>
          <w:szCs w:val="22"/>
        </w:rPr>
        <w:t xml:space="preserve"> será la única instancia facultada para indicar al prestador de servicios, alguna modificación a la instalación actual.</w:t>
      </w:r>
    </w:p>
    <w:p w14:paraId="55F3A4D0" w14:textId="77777777" w:rsidR="00661396" w:rsidRPr="000A7FC0" w:rsidRDefault="00661396" w:rsidP="009C6563">
      <w:pPr>
        <w:shd w:val="clear" w:color="auto" w:fill="FFFFFF"/>
        <w:ind w:left="340"/>
        <w:jc w:val="both"/>
        <w:rPr>
          <w:rFonts w:ascii="Century Gothic" w:hAnsi="Century Gothic" w:cs="Arial"/>
          <w:color w:val="000000"/>
          <w:spacing w:val="2"/>
          <w:sz w:val="22"/>
          <w:szCs w:val="22"/>
        </w:rPr>
      </w:pPr>
    </w:p>
    <w:p w14:paraId="7F06A2B0" w14:textId="77777777" w:rsidR="000A7FC0" w:rsidRDefault="00661396" w:rsidP="009C6563">
      <w:pPr>
        <w:shd w:val="clear" w:color="auto" w:fill="FFFFFF"/>
        <w:ind w:left="340"/>
        <w:jc w:val="both"/>
        <w:rPr>
          <w:rFonts w:ascii="Century Gothic" w:hAnsi="Century Gothic" w:cs="Arial"/>
          <w:color w:val="000000"/>
          <w:spacing w:val="2"/>
          <w:sz w:val="22"/>
          <w:szCs w:val="22"/>
          <w:lang w:val="es-ES_tradnl"/>
        </w:rPr>
      </w:pPr>
      <w:r w:rsidRPr="000A7FC0">
        <w:rPr>
          <w:rFonts w:ascii="Century Gothic" w:hAnsi="Century Gothic" w:cs="Arial"/>
          <w:color w:val="000000"/>
          <w:spacing w:val="2"/>
          <w:sz w:val="22"/>
          <w:szCs w:val="22"/>
          <w:lang w:val="es-ES_tradnl"/>
        </w:rPr>
        <w:t>Aqu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pacing w:val="2"/>
            <w:sz w:val="22"/>
            <w:szCs w:val="22"/>
            <w:lang w:val="es-ES_tradnl"/>
          </w:rPr>
          <w:t>el</w:t>
        </w:r>
      </w:smartTag>
      <w:r w:rsidRPr="000A7FC0">
        <w:rPr>
          <w:rFonts w:ascii="Century Gothic" w:hAnsi="Century Gothic" w:cs="Arial"/>
          <w:color w:val="000000"/>
          <w:spacing w:val="2"/>
          <w:sz w:val="22"/>
          <w:szCs w:val="22"/>
          <w:lang w:val="es-ES_tradnl"/>
        </w:rPr>
        <w:t xml:space="preserve">los trabajos o refacciones adicionales, que no hayan sido incorporados en bitácora y notificados previamente a la Dirección de Mantenimiento, no podrán ser cobrados por </w:t>
      </w:r>
      <w:smartTag w:uri="urn:schemas-microsoft-com:office:smarttags" w:element="PersonName">
        <w:r w:rsidRPr="000A7FC0">
          <w:rPr>
            <w:rFonts w:ascii="Century Gothic" w:hAnsi="Century Gothic" w:cs="Arial"/>
            <w:color w:val="000000"/>
            <w:spacing w:val="2"/>
            <w:sz w:val="22"/>
            <w:szCs w:val="22"/>
            <w:lang w:val="es-ES_tradnl"/>
          </w:rPr>
          <w:t>el</w:t>
        </w:r>
      </w:smartTag>
      <w:r w:rsidRPr="000A7FC0">
        <w:rPr>
          <w:rFonts w:ascii="Century Gothic" w:hAnsi="Century Gothic" w:cs="Arial"/>
          <w:color w:val="000000"/>
          <w:spacing w:val="2"/>
          <w:sz w:val="22"/>
          <w:szCs w:val="22"/>
          <w:lang w:val="es-ES_tradnl"/>
        </w:rPr>
        <w:t xml:space="preserve"> prestador de servicios.</w:t>
      </w:r>
    </w:p>
    <w:p w14:paraId="3C9C460E" w14:textId="77777777" w:rsidR="000A7FC0" w:rsidRDefault="000A7FC0" w:rsidP="009C6563">
      <w:pPr>
        <w:ind w:left="340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52385456" w14:textId="77777777" w:rsidR="000A7FC0" w:rsidRPr="000A7FC0" w:rsidRDefault="000A7FC0" w:rsidP="009C6563">
      <w:pPr>
        <w:ind w:left="340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0A7FC0">
        <w:rPr>
          <w:rFonts w:ascii="Century Gothic" w:hAnsi="Century Gothic" w:cs="Arial"/>
          <w:b/>
          <w:color w:val="000000"/>
          <w:sz w:val="22"/>
          <w:szCs w:val="22"/>
        </w:rPr>
        <w:t>CONDICIONES GENERALES.</w:t>
      </w:r>
    </w:p>
    <w:p w14:paraId="56084B7F" w14:textId="77777777" w:rsidR="000A7FC0" w:rsidRPr="000A7FC0" w:rsidRDefault="000A7FC0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En caso de que el Tribunal instale nuevos </w:t>
      </w:r>
      <w:r w:rsidR="00C476D1" w:rsidRPr="000A7FC0">
        <w:rPr>
          <w:rFonts w:ascii="Century Gothic" w:eastAsia="Batang" w:hAnsi="Century Gothic" w:cs="Arial"/>
          <w:bCs/>
          <w:sz w:val="22"/>
          <w:szCs w:val="22"/>
        </w:rPr>
        <w:t>equipos de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subestaciones de energía eléctrica durante la </w:t>
      </w:r>
      <w:r w:rsidR="00C476D1" w:rsidRPr="000A7FC0">
        <w:rPr>
          <w:rFonts w:ascii="Century Gothic" w:eastAsia="Batang" w:hAnsi="Century Gothic" w:cs="Arial"/>
          <w:bCs/>
          <w:sz w:val="22"/>
          <w:szCs w:val="22"/>
        </w:rPr>
        <w:t>vigencia de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este contrato, se procederá a formular por el Prestador, un </w:t>
      </w:r>
      <w:r w:rsidR="00C476D1" w:rsidRPr="000A7FC0">
        <w:rPr>
          <w:rFonts w:ascii="Century Gothic" w:eastAsia="Batang" w:hAnsi="Century Gothic" w:cs="Arial"/>
          <w:bCs/>
          <w:sz w:val="22"/>
          <w:szCs w:val="22"/>
        </w:rPr>
        <w:t>presupuesto por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el tiempo pendiente de su terminación y en su caso considerarlo para su mantenimiento, conforme al procedimiento que para tal efecto se autorice.</w:t>
      </w:r>
    </w:p>
    <w:p w14:paraId="17452254" w14:textId="77777777" w:rsidR="000A7FC0" w:rsidRPr="000A7FC0" w:rsidRDefault="000A7FC0" w:rsidP="009C6563">
      <w:pPr>
        <w:tabs>
          <w:tab w:val="left" w:pos="-720"/>
        </w:tabs>
        <w:suppressAutoHyphens/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5242A62A" w14:textId="77777777" w:rsidR="000A7FC0" w:rsidRPr="000A7FC0" w:rsidRDefault="000A7FC0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  <w:r w:rsidRPr="000A7FC0">
        <w:rPr>
          <w:rFonts w:ascii="Century Gothic" w:hAnsi="Century Gothic" w:cs="Arial"/>
          <w:sz w:val="22"/>
          <w:szCs w:val="22"/>
        </w:rPr>
        <w:t xml:space="preserve">El Tribunal por necesidades de la operación podrá modificar el número de </w:t>
      </w:r>
      <w:r w:rsidR="00C476D1" w:rsidRPr="000A7FC0">
        <w:rPr>
          <w:rFonts w:ascii="Century Gothic" w:hAnsi="Century Gothic" w:cs="Arial"/>
          <w:sz w:val="22"/>
          <w:szCs w:val="22"/>
        </w:rPr>
        <w:t>inmuebles donde</w:t>
      </w:r>
      <w:r w:rsidRPr="000A7FC0">
        <w:rPr>
          <w:rFonts w:ascii="Century Gothic" w:hAnsi="Century Gothic" w:cs="Arial"/>
          <w:sz w:val="22"/>
          <w:szCs w:val="22"/>
        </w:rPr>
        <w:t xml:space="preserve"> se realizan los servicios objeto del contrato, en cualquier momento durante la vigencia del mismo, lo cual se asentará en el convenio respectivo.</w:t>
      </w:r>
    </w:p>
    <w:p w14:paraId="61ED7531" w14:textId="77777777" w:rsidR="004E2ED9" w:rsidRPr="000A7FC0" w:rsidRDefault="004E2ED9" w:rsidP="009C6563">
      <w:pPr>
        <w:shd w:val="clear" w:color="auto" w:fill="FFFFFF"/>
        <w:ind w:left="340"/>
        <w:jc w:val="both"/>
        <w:rPr>
          <w:rFonts w:ascii="Century Gothic" w:hAnsi="Century Gothic" w:cs="Arial"/>
          <w:color w:val="000000"/>
          <w:spacing w:val="2"/>
          <w:sz w:val="22"/>
          <w:szCs w:val="22"/>
        </w:rPr>
      </w:pPr>
    </w:p>
    <w:p w14:paraId="6DB5D421" w14:textId="77777777" w:rsidR="004A392D" w:rsidRPr="000A7FC0" w:rsidRDefault="004A392D" w:rsidP="009C6563">
      <w:pPr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SEGURIDAD, HIGIENE Y PROTECCIÓN AMBIENTAL</w:t>
      </w:r>
      <w:r w:rsidR="00A211EF">
        <w:rPr>
          <w:rFonts w:ascii="Century Gothic" w:eastAsia="Batang" w:hAnsi="Century Gothic" w:cs="Arial"/>
          <w:b/>
          <w:bCs/>
          <w:sz w:val="22"/>
          <w:szCs w:val="22"/>
        </w:rPr>
        <w:t xml:space="preserve">.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Con el objeto de minimizar los actos inseguros, disminuir los riesgos y los accidentes, durante la ejecución de los trabajos objeto del servicio, el prestador se obliga a observar lo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lastRenderedPageBreak/>
        <w:t xml:space="preserve">establecido en los </w:t>
      </w: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>“LINEAMIENTOS DE SEGURIDAD, HIGIENE Y PROTECCIÓN AMBIENTAL, PARA CONTRATISTAS QUE DESARROLLEN TRABAJOS EN EDIFICIOS DEL TRIBUNAL ELECTORAL DEL PODER JUDICIAL DE LA FEDERACIÓN”,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los cuales podrán consultarlos en la </w:t>
      </w:r>
      <w:proofErr w:type="spellStart"/>
      <w:r w:rsidRPr="000A7FC0">
        <w:rPr>
          <w:rFonts w:ascii="Century Gothic" w:eastAsia="Batang" w:hAnsi="Century Gothic" w:cs="Arial"/>
          <w:bCs/>
          <w:sz w:val="22"/>
          <w:szCs w:val="22"/>
        </w:rPr>
        <w:t>normateca</w:t>
      </w:r>
      <w:proofErr w:type="spellEnd"/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del portal del Tribunal Electoral en internet.</w:t>
      </w:r>
    </w:p>
    <w:p w14:paraId="7397F570" w14:textId="77777777" w:rsidR="004A392D" w:rsidRPr="000A7FC0" w:rsidRDefault="004A392D" w:rsidP="009C6563">
      <w:pPr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27AFC8D8" w14:textId="77777777" w:rsidR="004A392D" w:rsidRDefault="004A392D" w:rsidP="009C6563">
      <w:pPr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Cs/>
          <w:sz w:val="22"/>
          <w:szCs w:val="22"/>
        </w:rPr>
        <w:t>Por tal fin deberá presentar una carta compromiso manifestando bajo protesta de decir verdad, que se compromete a observar y respetar los citados lineamientos.</w:t>
      </w:r>
    </w:p>
    <w:p w14:paraId="1DB8C363" w14:textId="77777777" w:rsidR="00C27C19" w:rsidRPr="000A7FC0" w:rsidRDefault="00C27C19" w:rsidP="009C6563">
      <w:pPr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542C7A4A" w14:textId="77777777" w:rsidR="00C27C19" w:rsidRDefault="00C27C19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  <w:r w:rsidRPr="00EA4D60">
        <w:rPr>
          <w:rFonts w:ascii="Century Gothic" w:hAnsi="Century Gothic" w:cs="Arial"/>
          <w:b/>
          <w:iCs/>
          <w:spacing w:val="-3"/>
          <w:sz w:val="22"/>
          <w:szCs w:val="22"/>
        </w:rPr>
        <w:t>PERFIL DEL PERSONAL</w:t>
      </w:r>
      <w:r>
        <w:rPr>
          <w:rFonts w:ascii="Century Gothic" w:hAnsi="Century Gothic" w:cs="Arial"/>
          <w:b/>
          <w:iCs/>
          <w:spacing w:val="-3"/>
          <w:sz w:val="22"/>
          <w:szCs w:val="22"/>
        </w:rPr>
        <w:t xml:space="preserve"> TÉCNICO.</w:t>
      </w:r>
      <w:r w:rsidRPr="00EA4D60">
        <w:rPr>
          <w:rFonts w:ascii="Century Gothic" w:hAnsi="Century Gothic" w:cs="Arial"/>
          <w:sz w:val="22"/>
          <w:szCs w:val="22"/>
        </w:rPr>
        <w:t xml:space="preserve"> </w:t>
      </w:r>
    </w:p>
    <w:p w14:paraId="495C541B" w14:textId="77777777" w:rsidR="00C27C19" w:rsidRDefault="00C27C19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</w:p>
    <w:p w14:paraId="761366DF" w14:textId="77777777" w:rsidR="00C27C19" w:rsidRDefault="00C27C19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  <w:r w:rsidRPr="00EA4D60">
        <w:rPr>
          <w:rFonts w:ascii="Century Gothic" w:hAnsi="Century Gothic" w:cs="Arial"/>
          <w:sz w:val="22"/>
          <w:szCs w:val="22"/>
        </w:rPr>
        <w:t>Se requiere que el participante cuente con personal calificado que conozca la operación y funcionamiento del equipo que se encuentra instalado en este inmueble, para tal fin en su propuesta técnica deberá presentar documentos del personal técnico que realizará y supervisará trabajos, demostrando tales conocimientos o experiencia.</w:t>
      </w:r>
    </w:p>
    <w:p w14:paraId="615E7BC3" w14:textId="77777777" w:rsidR="009D00F5" w:rsidRDefault="009D00F5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</w:p>
    <w:p w14:paraId="00BEC056" w14:textId="77777777" w:rsidR="009D00F5" w:rsidRDefault="009D00F5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  <w:r w:rsidRPr="000A7FC0">
        <w:rPr>
          <w:rFonts w:ascii="Century Gothic" w:hAnsi="Century Gothic" w:cs="Arial"/>
          <w:sz w:val="22"/>
          <w:szCs w:val="22"/>
        </w:rPr>
        <w:t xml:space="preserve">En el caso que previo y durante el servicio de mantenimiento </w:t>
      </w:r>
      <w:r>
        <w:rPr>
          <w:rFonts w:ascii="Century Gothic" w:hAnsi="Century Gothic" w:cs="Arial"/>
          <w:sz w:val="22"/>
          <w:szCs w:val="22"/>
        </w:rPr>
        <w:t xml:space="preserve">la Sala Regional Especializada a través de la Delegación Administrativa </w:t>
      </w:r>
      <w:r w:rsidRPr="000A7FC0">
        <w:rPr>
          <w:rFonts w:ascii="Century Gothic" w:hAnsi="Century Gothic" w:cs="Arial"/>
          <w:sz w:val="22"/>
          <w:szCs w:val="22"/>
        </w:rPr>
        <w:t>considere que el personal no cubre con el perfil y los conocimientos antes especificados, se podrá solicitar el cambio del mismo, lo cual deberá realizarse con un tiempo máximo de 2 días</w:t>
      </w:r>
      <w:r>
        <w:rPr>
          <w:rFonts w:ascii="Century Gothic" w:hAnsi="Century Gothic" w:cs="Arial"/>
          <w:sz w:val="22"/>
          <w:szCs w:val="22"/>
        </w:rPr>
        <w:t xml:space="preserve"> hábiles</w:t>
      </w:r>
      <w:r w:rsidRPr="000A7FC0">
        <w:rPr>
          <w:rFonts w:ascii="Century Gothic" w:hAnsi="Century Gothic" w:cs="Arial"/>
          <w:sz w:val="22"/>
          <w:szCs w:val="22"/>
        </w:rPr>
        <w:t>.</w:t>
      </w:r>
    </w:p>
    <w:p w14:paraId="30E54436" w14:textId="77777777" w:rsidR="009D00F5" w:rsidRDefault="009D00F5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</w:p>
    <w:p w14:paraId="6676A275" w14:textId="77777777" w:rsidR="009D00F5" w:rsidRDefault="009D00F5" w:rsidP="009C6563">
      <w:pPr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  <w:r w:rsidRPr="000A7FC0">
        <w:rPr>
          <w:rFonts w:ascii="Century Gothic" w:eastAsia="Batang" w:hAnsi="Century Gothic" w:cs="Arial"/>
          <w:b/>
          <w:bCs/>
          <w:sz w:val="22"/>
          <w:szCs w:val="22"/>
        </w:rPr>
        <w:t xml:space="preserve">CURRICULUM EMPRESARIAL.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El prestador de servicios deberá presentar su curriculum empresarial, </w:t>
      </w:r>
      <w:smartTag w:uri="urn:schemas-microsoft-com:office:smarttags" w:element="PersonName">
        <w:r w:rsidRPr="000A7FC0">
          <w:rPr>
            <w:rFonts w:ascii="Century Gothic" w:eastAsia="Batang" w:hAnsi="Century Gothic" w:cs="Arial"/>
            <w:bCs/>
            <w:sz w:val="22"/>
            <w:szCs w:val="22"/>
          </w:rPr>
          <w:t>el</w:t>
        </w:r>
      </w:smartTag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 cual deberá contener entre otros datos: denominación o razón social de la empresa; domicilio fiscal; R.F.C., objeto social de la empresa, r</w:t>
      </w:r>
      <w:smartTag w:uri="urn:schemas-microsoft-com:office:smarttags" w:element="PersonName">
        <w:r w:rsidRPr="000A7FC0">
          <w:rPr>
            <w:rFonts w:ascii="Century Gothic" w:eastAsia="Batang" w:hAnsi="Century Gothic" w:cs="Arial"/>
            <w:bCs/>
            <w:sz w:val="22"/>
            <w:szCs w:val="22"/>
          </w:rPr>
          <w:t>el</w:t>
        </w:r>
      </w:smartTag>
      <w:r w:rsidRPr="000A7FC0">
        <w:rPr>
          <w:rFonts w:ascii="Century Gothic" w:eastAsia="Batang" w:hAnsi="Century Gothic" w:cs="Arial"/>
          <w:bCs/>
          <w:sz w:val="22"/>
          <w:szCs w:val="22"/>
        </w:rPr>
        <w:t>ación de clientes más importantes, proporcionando sus datos generales, como  nombre de la empresa, representante legal, nombre de la persona con quien contactar, t</w:t>
      </w:r>
      <w:smartTag w:uri="urn:schemas-microsoft-com:office:smarttags" w:element="PersonName">
        <w:r w:rsidRPr="000A7FC0">
          <w:rPr>
            <w:rFonts w:ascii="Century Gothic" w:eastAsia="Batang" w:hAnsi="Century Gothic" w:cs="Arial"/>
            <w:bCs/>
            <w:sz w:val="22"/>
            <w:szCs w:val="22"/>
          </w:rPr>
          <w:t>el</w:t>
        </w:r>
      </w:smartTag>
      <w:r>
        <w:rPr>
          <w:rFonts w:ascii="Century Gothic" w:eastAsia="Batang" w:hAnsi="Century Gothic" w:cs="Arial"/>
          <w:bCs/>
          <w:sz w:val="22"/>
          <w:szCs w:val="22"/>
        </w:rPr>
        <w:t xml:space="preserve">éfono, </w:t>
      </w:r>
      <w:r w:rsidRPr="000A7FC0">
        <w:rPr>
          <w:rFonts w:ascii="Century Gothic" w:eastAsia="Batang" w:hAnsi="Century Gothic" w:cs="Arial"/>
          <w:bCs/>
          <w:sz w:val="22"/>
          <w:szCs w:val="22"/>
        </w:rPr>
        <w:t xml:space="preserve">domicilio, correo </w:t>
      </w:r>
      <w:smartTag w:uri="urn:schemas-microsoft-com:office:smarttags" w:element="PersonName">
        <w:r w:rsidRPr="000A7FC0">
          <w:rPr>
            <w:rFonts w:ascii="Century Gothic" w:eastAsia="Batang" w:hAnsi="Century Gothic" w:cs="Arial"/>
            <w:bCs/>
            <w:sz w:val="22"/>
            <w:szCs w:val="22"/>
          </w:rPr>
          <w:t>el</w:t>
        </w:r>
      </w:smartTag>
      <w:r w:rsidRPr="000A7FC0">
        <w:rPr>
          <w:rFonts w:ascii="Century Gothic" w:eastAsia="Batang" w:hAnsi="Century Gothic" w:cs="Arial"/>
          <w:bCs/>
          <w:sz w:val="22"/>
          <w:szCs w:val="22"/>
        </w:rPr>
        <w:t>ectrónico, etc. debe</w:t>
      </w:r>
      <w:r>
        <w:rPr>
          <w:rFonts w:ascii="Century Gothic" w:eastAsia="Batang" w:hAnsi="Century Gothic" w:cs="Arial"/>
          <w:bCs/>
          <w:sz w:val="22"/>
          <w:szCs w:val="22"/>
        </w:rPr>
        <w:t>rá presentar documentación que demuestre una experiencia en contratos de mantenimiento  similares al objeto del servicio.</w:t>
      </w:r>
    </w:p>
    <w:p w14:paraId="70435BD9" w14:textId="77777777" w:rsidR="009D00F5" w:rsidRDefault="009D00F5" w:rsidP="009C6563">
      <w:pPr>
        <w:ind w:left="340"/>
        <w:jc w:val="both"/>
        <w:rPr>
          <w:rFonts w:ascii="Century Gothic" w:eastAsia="Batang" w:hAnsi="Century Gothic" w:cs="Arial"/>
          <w:bCs/>
          <w:sz w:val="22"/>
          <w:szCs w:val="22"/>
        </w:rPr>
      </w:pPr>
    </w:p>
    <w:p w14:paraId="63278738" w14:textId="2C537DBE" w:rsidR="009D00F5" w:rsidRPr="000A7FC0" w:rsidRDefault="009D00F5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iCs/>
          <w:spacing w:val="-3"/>
          <w:sz w:val="22"/>
          <w:szCs w:val="22"/>
        </w:rPr>
      </w:pPr>
      <w:r w:rsidRPr="000A7FC0">
        <w:rPr>
          <w:rFonts w:ascii="Century Gothic" w:hAnsi="Century Gothic" w:cs="Arial"/>
          <w:b/>
          <w:iCs/>
          <w:spacing w:val="-3"/>
          <w:sz w:val="22"/>
          <w:szCs w:val="22"/>
        </w:rPr>
        <w:t>VIGENCIA DE CONTRATACIÓN</w:t>
      </w:r>
      <w:r w:rsidRPr="000A7FC0">
        <w:rPr>
          <w:rFonts w:ascii="Century Gothic" w:hAnsi="Century Gothic" w:cs="Arial"/>
          <w:iCs/>
          <w:spacing w:val="-3"/>
          <w:sz w:val="22"/>
          <w:szCs w:val="22"/>
        </w:rPr>
        <w:t xml:space="preserve">. El contrato que se formalice tendrá una vigencia de </w:t>
      </w:r>
      <w:r>
        <w:rPr>
          <w:rFonts w:ascii="Century Gothic" w:hAnsi="Century Gothic" w:cs="Arial"/>
          <w:iCs/>
          <w:spacing w:val="-3"/>
          <w:sz w:val="22"/>
          <w:szCs w:val="22"/>
        </w:rPr>
        <w:t>12</w:t>
      </w:r>
      <w:r w:rsidRPr="000A7FC0">
        <w:rPr>
          <w:rFonts w:ascii="Century Gothic" w:hAnsi="Century Gothic" w:cs="Arial"/>
          <w:iCs/>
          <w:spacing w:val="-3"/>
          <w:sz w:val="22"/>
          <w:szCs w:val="22"/>
        </w:rPr>
        <w:t xml:space="preserve"> meses del 01 de enero al 31 de diciembre de 20</w:t>
      </w:r>
      <w:r w:rsidR="0054157F">
        <w:rPr>
          <w:rFonts w:ascii="Century Gothic" w:hAnsi="Century Gothic" w:cs="Arial"/>
          <w:iCs/>
          <w:spacing w:val="-3"/>
          <w:sz w:val="22"/>
          <w:szCs w:val="22"/>
        </w:rPr>
        <w:t>2</w:t>
      </w:r>
      <w:r w:rsidR="007A2221">
        <w:rPr>
          <w:rFonts w:ascii="Century Gothic" w:hAnsi="Century Gothic" w:cs="Arial"/>
          <w:iCs/>
          <w:spacing w:val="-3"/>
          <w:sz w:val="22"/>
          <w:szCs w:val="22"/>
        </w:rPr>
        <w:t>4</w:t>
      </w:r>
      <w:r w:rsidRPr="000A7FC0">
        <w:rPr>
          <w:rFonts w:ascii="Century Gothic" w:hAnsi="Century Gothic" w:cs="Arial"/>
          <w:iCs/>
          <w:spacing w:val="-3"/>
          <w:sz w:val="22"/>
          <w:szCs w:val="22"/>
        </w:rPr>
        <w:t>.</w:t>
      </w:r>
    </w:p>
    <w:p w14:paraId="7E7B650D" w14:textId="77777777" w:rsidR="009D00F5" w:rsidRDefault="009D00F5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</w:p>
    <w:p w14:paraId="5EE0B1A3" w14:textId="77777777" w:rsidR="009D00F5" w:rsidRDefault="009D00F5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Nota: Para tener una mejor visión del estado actual de la planta de emergencia, así como de sus refacciones, es necesario realizar una visita al sitio.</w:t>
      </w:r>
    </w:p>
    <w:p w14:paraId="6D0B9540" w14:textId="77777777" w:rsidR="009D00F5" w:rsidRDefault="009D00F5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Style w:val="Tablaconcuadrcula"/>
        <w:tblW w:w="875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667"/>
        <w:gridCol w:w="567"/>
        <w:gridCol w:w="567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567"/>
      </w:tblGrid>
      <w:tr w:rsidR="009D00F5" w:rsidRPr="009D00F5" w14:paraId="4EFE4A96" w14:textId="77777777" w:rsidTr="009D00F5">
        <w:tc>
          <w:tcPr>
            <w:tcW w:w="1667" w:type="dxa"/>
          </w:tcPr>
          <w:p w14:paraId="7069ACB0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Mantenimiento</w:t>
            </w:r>
          </w:p>
        </w:tc>
        <w:tc>
          <w:tcPr>
            <w:tcW w:w="567" w:type="dxa"/>
          </w:tcPr>
          <w:p w14:paraId="2112C045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Ene</w:t>
            </w:r>
          </w:p>
        </w:tc>
        <w:tc>
          <w:tcPr>
            <w:tcW w:w="567" w:type="dxa"/>
          </w:tcPr>
          <w:p w14:paraId="6766D2EF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Feb</w:t>
            </w:r>
          </w:p>
        </w:tc>
        <w:tc>
          <w:tcPr>
            <w:tcW w:w="567" w:type="dxa"/>
          </w:tcPr>
          <w:p w14:paraId="6EB6F9AE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Mar</w:t>
            </w:r>
          </w:p>
        </w:tc>
        <w:tc>
          <w:tcPr>
            <w:tcW w:w="567" w:type="dxa"/>
          </w:tcPr>
          <w:p w14:paraId="7C9586C3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Abr</w:t>
            </w:r>
          </w:p>
        </w:tc>
        <w:tc>
          <w:tcPr>
            <w:tcW w:w="709" w:type="dxa"/>
          </w:tcPr>
          <w:p w14:paraId="0F5FDF1A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May</w:t>
            </w:r>
          </w:p>
        </w:tc>
        <w:tc>
          <w:tcPr>
            <w:tcW w:w="567" w:type="dxa"/>
          </w:tcPr>
          <w:p w14:paraId="6BFEB073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Jun</w:t>
            </w:r>
          </w:p>
        </w:tc>
        <w:tc>
          <w:tcPr>
            <w:tcW w:w="567" w:type="dxa"/>
          </w:tcPr>
          <w:p w14:paraId="24C41AF9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Jul</w:t>
            </w:r>
          </w:p>
        </w:tc>
        <w:tc>
          <w:tcPr>
            <w:tcW w:w="708" w:type="dxa"/>
          </w:tcPr>
          <w:p w14:paraId="124B8B37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D00F5">
              <w:rPr>
                <w:rFonts w:ascii="Century Gothic" w:hAnsi="Century Gothic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7" w:type="dxa"/>
          </w:tcPr>
          <w:p w14:paraId="77287EC4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9D00F5">
              <w:rPr>
                <w:rFonts w:ascii="Century Gothic" w:hAnsi="Century Gothic" w:cs="Arial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567" w:type="dxa"/>
          </w:tcPr>
          <w:p w14:paraId="67941179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Oct</w:t>
            </w:r>
          </w:p>
        </w:tc>
        <w:tc>
          <w:tcPr>
            <w:tcW w:w="567" w:type="dxa"/>
          </w:tcPr>
          <w:p w14:paraId="366F3AEE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Nov</w:t>
            </w:r>
          </w:p>
        </w:tc>
        <w:tc>
          <w:tcPr>
            <w:tcW w:w="567" w:type="dxa"/>
          </w:tcPr>
          <w:p w14:paraId="64348C7C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D00F5">
              <w:rPr>
                <w:rFonts w:ascii="Century Gothic" w:hAnsi="Century Gothic" w:cs="Arial"/>
                <w:sz w:val="18"/>
                <w:szCs w:val="18"/>
              </w:rPr>
              <w:t>Dic</w:t>
            </w:r>
          </w:p>
        </w:tc>
      </w:tr>
      <w:tr w:rsidR="009D00F5" w:rsidRPr="009D00F5" w14:paraId="7D39BC29" w14:textId="77777777" w:rsidTr="009D00F5">
        <w:tc>
          <w:tcPr>
            <w:tcW w:w="1667" w:type="dxa"/>
          </w:tcPr>
          <w:p w14:paraId="0C8038A8" w14:textId="77777777" w:rsidR="009D00F5" w:rsidRPr="009D00F5" w:rsidRDefault="00837C52" w:rsidP="009C6563">
            <w:pPr>
              <w:tabs>
                <w:tab w:val="left" w:pos="-720"/>
              </w:tabs>
              <w:suppressAutoHyphens/>
              <w:ind w:left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Preventivo</w:t>
            </w:r>
          </w:p>
        </w:tc>
        <w:tc>
          <w:tcPr>
            <w:tcW w:w="567" w:type="dxa"/>
          </w:tcPr>
          <w:p w14:paraId="2E0A488B" w14:textId="77777777" w:rsidR="009D00F5" w:rsidRPr="009D00F5" w:rsidRDefault="000A137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B8DC939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6D698B" w14:textId="77777777" w:rsidR="009D00F5" w:rsidRPr="009D00F5" w:rsidRDefault="000A137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576F188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1CC7CB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29AB55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9ECDFE" w14:textId="77777777" w:rsidR="009D00F5" w:rsidRPr="009D00F5" w:rsidRDefault="000A137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14:paraId="1A517BB1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02F6CA" w14:textId="77777777" w:rsidR="009D00F5" w:rsidRPr="009D00F5" w:rsidRDefault="000A137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3C273C7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E095AD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DAD568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D00F5" w:rsidRPr="009D00F5" w14:paraId="33B69EC1" w14:textId="77777777" w:rsidTr="009D00F5">
        <w:tc>
          <w:tcPr>
            <w:tcW w:w="1667" w:type="dxa"/>
          </w:tcPr>
          <w:p w14:paraId="2AF478BE" w14:textId="77777777" w:rsidR="009D00F5" w:rsidRPr="009D00F5" w:rsidRDefault="00837C52" w:rsidP="009C6563">
            <w:pPr>
              <w:tabs>
                <w:tab w:val="left" w:pos="-720"/>
              </w:tabs>
              <w:suppressAutoHyphens/>
              <w:ind w:left="34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Mayor</w:t>
            </w:r>
          </w:p>
        </w:tc>
        <w:tc>
          <w:tcPr>
            <w:tcW w:w="567" w:type="dxa"/>
          </w:tcPr>
          <w:p w14:paraId="7FC8D0A2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F8DF38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9857A9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67D2F3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1484FA" w14:textId="77777777" w:rsidR="009D00F5" w:rsidRPr="009D00F5" w:rsidRDefault="000A137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A3E3658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B7D1C5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F73987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6A40A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B01615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4C069C" w14:textId="77777777" w:rsidR="009D00F5" w:rsidRPr="009D00F5" w:rsidRDefault="000A137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DA6667D" w14:textId="77777777" w:rsidR="009D00F5" w:rsidRPr="009D00F5" w:rsidRDefault="009D00F5" w:rsidP="009C6563">
            <w:pPr>
              <w:tabs>
                <w:tab w:val="left" w:pos="-720"/>
              </w:tabs>
              <w:suppressAutoHyphens/>
              <w:ind w:left="3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FF527AE" w14:textId="77777777" w:rsidR="009D00F5" w:rsidRDefault="009D00F5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</w:p>
    <w:p w14:paraId="7B0028AE" w14:textId="77777777" w:rsidR="002D1876" w:rsidRPr="000A7FC0" w:rsidRDefault="00837C52" w:rsidP="009C6563">
      <w:pPr>
        <w:ind w:left="340"/>
        <w:jc w:val="both"/>
        <w:rPr>
          <w:rFonts w:ascii="Century Gothic" w:hAnsi="Century Gothic" w:cs="Arial"/>
          <w:spacing w:val="3"/>
          <w:sz w:val="22"/>
          <w:szCs w:val="22"/>
          <w:lang w:val="es-ES_tradnl"/>
        </w:rPr>
      </w:pPr>
      <w:r>
        <w:rPr>
          <w:rFonts w:ascii="Century Gothic" w:hAnsi="Century Gothic" w:cs="Arial"/>
          <w:b/>
          <w:spacing w:val="3"/>
          <w:sz w:val="22"/>
          <w:szCs w:val="22"/>
          <w:lang w:val="es-ES_tradnl"/>
        </w:rPr>
        <w:t xml:space="preserve">CRITERIO DE ADJUDICACIÓN. </w:t>
      </w:r>
      <w:r w:rsidR="00F94E04" w:rsidRPr="000A7FC0">
        <w:rPr>
          <w:rFonts w:ascii="Century Gothic" w:hAnsi="Century Gothic" w:cs="Arial"/>
          <w:spacing w:val="3"/>
          <w:sz w:val="22"/>
          <w:szCs w:val="22"/>
          <w:lang w:val="es-ES_tradnl"/>
        </w:rPr>
        <w:t>La adjudicación se realizará a un solo prestador de servicios que cumpla con todos los requisitos solicitados en el anexo técnico y presente la mejor oferta económica.</w:t>
      </w:r>
    </w:p>
    <w:p w14:paraId="50259FC2" w14:textId="77777777" w:rsidR="004A392D" w:rsidRPr="000A7FC0" w:rsidRDefault="004A392D" w:rsidP="009C6563">
      <w:pPr>
        <w:ind w:left="340"/>
        <w:jc w:val="both"/>
        <w:rPr>
          <w:rFonts w:ascii="Century Gothic" w:hAnsi="Century Gothic" w:cs="Arial"/>
          <w:spacing w:val="3"/>
          <w:sz w:val="22"/>
          <w:szCs w:val="22"/>
          <w:lang w:val="es-ES_tradnl"/>
        </w:rPr>
      </w:pPr>
    </w:p>
    <w:p w14:paraId="4E6EBBC1" w14:textId="77777777" w:rsidR="00C476D1" w:rsidRPr="00C476D1" w:rsidRDefault="00C476D1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  <w:r w:rsidRPr="00C476D1">
        <w:rPr>
          <w:rFonts w:ascii="Century Gothic" w:hAnsi="Century Gothic" w:cs="Arial"/>
          <w:b/>
          <w:sz w:val="22"/>
          <w:szCs w:val="22"/>
        </w:rPr>
        <w:t>EQUIPO TECNOLÓGICO.</w:t>
      </w:r>
      <w:r w:rsidR="00837C52">
        <w:rPr>
          <w:rFonts w:ascii="Century Gothic" w:hAnsi="Century Gothic" w:cs="Arial"/>
          <w:b/>
          <w:sz w:val="22"/>
          <w:szCs w:val="22"/>
        </w:rPr>
        <w:t xml:space="preserve"> </w:t>
      </w:r>
      <w:r w:rsidRPr="00C476D1">
        <w:rPr>
          <w:rFonts w:ascii="Century Gothic" w:hAnsi="Century Gothic" w:cs="Arial"/>
          <w:sz w:val="22"/>
          <w:szCs w:val="22"/>
        </w:rPr>
        <w:t xml:space="preserve">La empresa deber de adjuntar una carta manifestando bajo protesta de decir verdad que cuenta con el software y </w:t>
      </w:r>
      <w:r w:rsidRPr="00C476D1">
        <w:rPr>
          <w:rFonts w:ascii="Century Gothic" w:hAnsi="Century Gothic" w:cs="Arial"/>
          <w:sz w:val="22"/>
          <w:szCs w:val="22"/>
        </w:rPr>
        <w:lastRenderedPageBreak/>
        <w:t>equipo original para el escaneo de parámetros y/o fallas de los equipos autorizado por la marca volvo.</w:t>
      </w:r>
    </w:p>
    <w:p w14:paraId="0925B2A2" w14:textId="77777777" w:rsidR="004A392D" w:rsidRPr="000A7FC0" w:rsidRDefault="004A392D" w:rsidP="009C6563">
      <w:pPr>
        <w:tabs>
          <w:tab w:val="left" w:pos="-720"/>
        </w:tabs>
        <w:suppressAutoHyphens/>
        <w:ind w:left="340"/>
        <w:jc w:val="both"/>
        <w:rPr>
          <w:rFonts w:ascii="Century Gothic" w:hAnsi="Century Gothic" w:cs="Arial"/>
          <w:sz w:val="22"/>
          <w:szCs w:val="22"/>
        </w:rPr>
      </w:pPr>
    </w:p>
    <w:p w14:paraId="0642AA53" w14:textId="77777777" w:rsidR="002D1876" w:rsidRPr="000A7FC0" w:rsidRDefault="00837C52" w:rsidP="009C6563">
      <w:pPr>
        <w:ind w:left="34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  <w:r w:rsidRPr="000A7FC0">
        <w:rPr>
          <w:rFonts w:ascii="Century Gothic" w:hAnsi="Century Gothic" w:cs="Arial"/>
          <w:b/>
          <w:color w:val="000000"/>
          <w:spacing w:val="3"/>
          <w:sz w:val="22"/>
          <w:szCs w:val="22"/>
          <w:lang w:val="es-ES_tradnl"/>
        </w:rPr>
        <w:t>RELACIÓN</w:t>
      </w:r>
      <w:r w:rsidR="002D1876" w:rsidRPr="000A7FC0">
        <w:rPr>
          <w:rFonts w:ascii="Century Gothic" w:hAnsi="Century Gothic" w:cs="Arial"/>
          <w:b/>
          <w:color w:val="000000"/>
          <w:spacing w:val="3"/>
          <w:sz w:val="22"/>
          <w:szCs w:val="22"/>
          <w:lang w:val="es-ES_tradnl"/>
        </w:rPr>
        <w:t xml:space="preserve"> CONTRACTUAL.</w:t>
      </w:r>
      <w:r>
        <w:rPr>
          <w:rFonts w:ascii="Century Gothic" w:hAnsi="Century Gothic" w:cs="Arial"/>
          <w:b/>
          <w:color w:val="000000"/>
          <w:spacing w:val="3"/>
          <w:sz w:val="22"/>
          <w:szCs w:val="22"/>
          <w:lang w:val="es-ES_tradnl"/>
        </w:rPr>
        <w:t xml:space="preserve"> </w:t>
      </w:r>
      <w:r w:rsidR="002D1876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La relación existente entre el Tribunal y el Prestador, es de </w:t>
      </w:r>
      <w:r w:rsidR="004774A1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carácter estrictamente</w:t>
      </w:r>
      <w:r w:rsidR="002D1876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civil, tal y </w:t>
      </w:r>
      <w:r w:rsidR="004774A1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como corresponde</w:t>
      </w:r>
      <w:r w:rsidR="002D1876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a un contrato de prestación de </w:t>
      </w:r>
      <w:r w:rsidR="004774A1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servicios, por</w:t>
      </w:r>
      <w:r w:rsidR="002D1876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lo que el Prestador es el único responsable de las obligaciones de carácter civil, laboral y de cualquier otra naturaleza para con las personas con quien se </w:t>
      </w:r>
      <w:r w:rsidR="004774A1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auxilie en</w:t>
      </w:r>
      <w:r w:rsidR="002D1876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el cumplimiento del contrato.</w:t>
      </w:r>
    </w:p>
    <w:p w14:paraId="468CF1D7" w14:textId="77777777" w:rsidR="002D1876" w:rsidRPr="000A7FC0" w:rsidRDefault="002D1876" w:rsidP="009C6563">
      <w:pPr>
        <w:ind w:left="34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p w14:paraId="2826AE15" w14:textId="77777777" w:rsidR="002D1876" w:rsidRPr="000A7FC0" w:rsidRDefault="002D1876" w:rsidP="009C6563">
      <w:pPr>
        <w:ind w:left="34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  <w:r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Por lo anterior, el Prestado</w:t>
      </w:r>
      <w:r w:rsidR="00837C52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r se obliga a dejar a salvo al t</w:t>
      </w:r>
      <w:r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ribunal de cualquier reclamación o acción </w:t>
      </w:r>
      <w:r w:rsidR="004774A1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instaurada en</w:t>
      </w:r>
      <w:r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su contra, con motivo del contrato, a sacarlo a salvo y en paz de cualquier juicio o procedimiento que se instare con motivo de lo referido, así como a pagar, en su caso, los daños y perjuicios que causaren.</w:t>
      </w:r>
    </w:p>
    <w:p w14:paraId="6EF12176" w14:textId="77777777" w:rsidR="002D1876" w:rsidRPr="000A7FC0" w:rsidRDefault="002D1876" w:rsidP="009C6563">
      <w:pPr>
        <w:ind w:left="34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p w14:paraId="339D90CC" w14:textId="77777777" w:rsidR="00B27661" w:rsidRPr="000A7FC0" w:rsidRDefault="002D1876" w:rsidP="009C6563">
      <w:pPr>
        <w:ind w:left="34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  <w:bookmarkStart w:id="0" w:name="_Hlk114138721"/>
      <w:bookmarkStart w:id="1" w:name="_Hlk114138697"/>
      <w:r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Asimismo reconoce que es el único responsable como patrón de la relación entre </w:t>
      </w:r>
      <w:r w:rsidR="00A8567F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él</w:t>
      </w:r>
      <w:r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y todos los recursos humanos que utilice y comisione ante el Tribunal</w:t>
      </w:r>
      <w:r w:rsidR="005B04C9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 xml:space="preserve"> Electoral</w:t>
      </w:r>
      <w:r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, para el cumplimiento de los servicios contratados, por lo que será el Prestador el que responda en forma íntegra de toda acción o reclamación de cualquier tipo  que dichos trabajadores pudieran intentar, liberando de cualquier responsabilidad laboral, fiscal, civil o penal, que surja respecto de d</w:t>
      </w:r>
      <w:r w:rsidR="005B04C9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ichos trabajadores, al Tribunal Electoral</w:t>
      </w:r>
      <w:bookmarkEnd w:id="0"/>
      <w:r w:rsidR="005B04C9" w:rsidRPr="000A7FC0"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  <w:t>.</w:t>
      </w:r>
    </w:p>
    <w:p w14:paraId="3EC8AF5C" w14:textId="19782318" w:rsidR="00B27661" w:rsidRDefault="00B27661" w:rsidP="009C6563">
      <w:pPr>
        <w:shd w:val="clear" w:color="auto" w:fill="FFFFFF"/>
        <w:ind w:left="34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bookmarkEnd w:id="1"/>
    <w:p w14:paraId="7A3A78DE" w14:textId="070B3562" w:rsidR="000B5262" w:rsidRPr="000B5262" w:rsidRDefault="000B5262" w:rsidP="009C6563">
      <w:pPr>
        <w:shd w:val="clear" w:color="auto" w:fill="FFFFFF"/>
        <w:ind w:left="34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p w14:paraId="2F16D5FA" w14:textId="77777777" w:rsidR="000B5262" w:rsidRPr="000B5262" w:rsidRDefault="000B5262" w:rsidP="009C6563">
      <w:pPr>
        <w:ind w:left="340"/>
        <w:jc w:val="both"/>
        <w:rPr>
          <w:rFonts w:ascii="Century Gothic" w:hAnsi="Century Gothic"/>
          <w:b/>
          <w:sz w:val="22"/>
          <w:szCs w:val="22"/>
        </w:rPr>
      </w:pPr>
      <w:r w:rsidRPr="000B5262">
        <w:rPr>
          <w:rFonts w:ascii="Century Gothic" w:hAnsi="Century Gothic"/>
          <w:b/>
          <w:sz w:val="22"/>
          <w:szCs w:val="22"/>
        </w:rPr>
        <w:t>REPSE</w:t>
      </w:r>
    </w:p>
    <w:p w14:paraId="1A1B98F0" w14:textId="77777777" w:rsidR="000B5262" w:rsidRPr="000B5262" w:rsidRDefault="000B5262" w:rsidP="009C6563">
      <w:pPr>
        <w:ind w:left="340"/>
        <w:jc w:val="both"/>
        <w:rPr>
          <w:rFonts w:ascii="Century Gothic" w:hAnsi="Century Gothic"/>
          <w:b/>
          <w:sz w:val="22"/>
          <w:szCs w:val="22"/>
        </w:rPr>
      </w:pPr>
    </w:p>
    <w:p w14:paraId="2FC6DCBF" w14:textId="77777777" w:rsidR="000B5262" w:rsidRPr="000B5262" w:rsidRDefault="000B5262" w:rsidP="009C6563">
      <w:pPr>
        <w:ind w:left="340"/>
        <w:jc w:val="both"/>
        <w:rPr>
          <w:rFonts w:ascii="Century Gothic" w:hAnsi="Century Gothic"/>
          <w:bCs/>
          <w:sz w:val="22"/>
          <w:szCs w:val="22"/>
        </w:rPr>
      </w:pPr>
      <w:r w:rsidRPr="000B5262">
        <w:rPr>
          <w:rFonts w:ascii="Century Gothic" w:hAnsi="Century Gothic"/>
          <w:bCs/>
          <w:sz w:val="22"/>
          <w:szCs w:val="22"/>
        </w:rPr>
        <w:t>De conformidad con el “Acuerdo por el que se dan a conocer las disposiciones de carácter general para el registro de personas físicas o morales que presten servicios especializados o ejecuten obras especializadas a que se refiere el artículo 15 de la Ley Federal del Trabajo”, publicado por la Secretaría del Trabajo y Previsión Social el 24 de mayo de 2021, el proveedor deberá estar inscrito al Registro de Prestadoras de Servicios Especializados y Obras Especializado (REPSE).</w:t>
      </w:r>
    </w:p>
    <w:p w14:paraId="4814EB18" w14:textId="77777777" w:rsidR="000B5262" w:rsidRDefault="000B5262" w:rsidP="009C6563">
      <w:pPr>
        <w:shd w:val="clear" w:color="auto" w:fill="FFFFFF"/>
        <w:ind w:left="340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p w14:paraId="612BD749" w14:textId="77777777" w:rsidR="000B5262" w:rsidRPr="000A7FC0" w:rsidRDefault="000B5262" w:rsidP="00A211EF">
      <w:pPr>
        <w:shd w:val="clear" w:color="auto" w:fill="FFFFFF"/>
        <w:ind w:left="426"/>
        <w:jc w:val="both"/>
        <w:rPr>
          <w:rFonts w:ascii="Century Gothic" w:hAnsi="Century Gothic" w:cs="Arial"/>
          <w:color w:val="000000"/>
          <w:spacing w:val="3"/>
          <w:sz w:val="22"/>
          <w:szCs w:val="22"/>
          <w:lang w:val="es-ES_tradnl"/>
        </w:rPr>
      </w:pPr>
    </w:p>
    <w:p w14:paraId="33FC40AD" w14:textId="77777777" w:rsidR="00D90B88" w:rsidRPr="000A7FC0" w:rsidRDefault="00D90B88" w:rsidP="00A211EF">
      <w:pPr>
        <w:ind w:left="426"/>
        <w:jc w:val="both"/>
        <w:rPr>
          <w:rFonts w:ascii="Century Gothic" w:hAnsi="Century Gothic" w:cs="Arial"/>
          <w:b/>
          <w:sz w:val="22"/>
          <w:szCs w:val="22"/>
        </w:rPr>
      </w:pPr>
    </w:p>
    <w:p w14:paraId="6F4A0808" w14:textId="77777777" w:rsidR="004B2B39" w:rsidRPr="000A7FC0" w:rsidRDefault="003466D8" w:rsidP="00837C52">
      <w:pPr>
        <w:shd w:val="clear" w:color="auto" w:fill="FFFFFF"/>
        <w:jc w:val="center"/>
        <w:rPr>
          <w:sz w:val="22"/>
          <w:szCs w:val="22"/>
        </w:rPr>
      </w:pPr>
      <w:r w:rsidRPr="000A7FC0">
        <w:rPr>
          <w:rFonts w:ascii="Arial" w:hAnsi="Arial" w:cs="Arial"/>
          <w:b/>
          <w:color w:val="000000"/>
          <w:spacing w:val="2"/>
          <w:sz w:val="22"/>
          <w:szCs w:val="22"/>
        </w:rPr>
        <w:t>NOMBRE Y FIRMA DEL REPRESENTANTE LEGAL</w:t>
      </w:r>
    </w:p>
    <w:sectPr w:rsidR="004B2B39" w:rsidRPr="000A7FC0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1A43" w14:textId="77777777" w:rsidR="0024133C" w:rsidRDefault="0024133C">
      <w:r>
        <w:separator/>
      </w:r>
    </w:p>
  </w:endnote>
  <w:endnote w:type="continuationSeparator" w:id="0">
    <w:p w14:paraId="222D3276" w14:textId="77777777" w:rsidR="0024133C" w:rsidRDefault="002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792B" w14:textId="77777777" w:rsidR="00B53F1A" w:rsidRDefault="00B53F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36</w:t>
    </w:r>
    <w:r>
      <w:rPr>
        <w:rStyle w:val="Nmerodepgina"/>
      </w:rPr>
      <w:fldChar w:fldCharType="end"/>
    </w:r>
  </w:p>
  <w:p w14:paraId="50755B22" w14:textId="77777777" w:rsidR="00B53F1A" w:rsidRDefault="00B53F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6878" w14:textId="77777777" w:rsidR="003C0A1C" w:rsidRDefault="003C0A1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028B1" w:rsidRPr="007028B1">
      <w:rPr>
        <w:noProof/>
        <w:lang w:val="es-ES"/>
      </w:rPr>
      <w:t>3</w:t>
    </w:r>
    <w:r>
      <w:fldChar w:fldCharType="end"/>
    </w:r>
  </w:p>
  <w:p w14:paraId="307B9FFB" w14:textId="77777777" w:rsidR="003C0A1C" w:rsidRDefault="003C0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1D49" w14:textId="77777777" w:rsidR="0024133C" w:rsidRDefault="0024133C">
      <w:r>
        <w:separator/>
      </w:r>
    </w:p>
  </w:footnote>
  <w:footnote w:type="continuationSeparator" w:id="0">
    <w:p w14:paraId="564680B0" w14:textId="77777777" w:rsidR="0024133C" w:rsidRDefault="0024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F62F6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6F6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705AA"/>
    <w:multiLevelType w:val="hybridMultilevel"/>
    <w:tmpl w:val="54E2B9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10B78"/>
    <w:multiLevelType w:val="singleLevel"/>
    <w:tmpl w:val="47DAF8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106F2C7C"/>
    <w:multiLevelType w:val="hybridMultilevel"/>
    <w:tmpl w:val="6D42F1C4"/>
    <w:lvl w:ilvl="0" w:tplc="FD4C17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66F84"/>
    <w:multiLevelType w:val="hybridMultilevel"/>
    <w:tmpl w:val="ED126CE2"/>
    <w:lvl w:ilvl="0" w:tplc="D11A5B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320CB"/>
    <w:multiLevelType w:val="hybridMultilevel"/>
    <w:tmpl w:val="A1B894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97C4C"/>
    <w:multiLevelType w:val="hybridMultilevel"/>
    <w:tmpl w:val="A1CCB7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7515"/>
    <w:multiLevelType w:val="hybridMultilevel"/>
    <w:tmpl w:val="CA92C968"/>
    <w:lvl w:ilvl="0" w:tplc="5080CC1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ath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ath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ath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420D"/>
    <w:multiLevelType w:val="multilevel"/>
    <w:tmpl w:val="49E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255E3BDC"/>
    <w:multiLevelType w:val="hybridMultilevel"/>
    <w:tmpl w:val="2B70F6DC"/>
    <w:lvl w:ilvl="0" w:tplc="8EEA2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5764C"/>
    <w:multiLevelType w:val="hybridMultilevel"/>
    <w:tmpl w:val="093C90BC"/>
    <w:lvl w:ilvl="0" w:tplc="147C31E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C0502"/>
    <w:multiLevelType w:val="singleLevel"/>
    <w:tmpl w:val="BD982B70"/>
    <w:lvl w:ilvl="0">
      <w:start w:val="1"/>
      <w:numFmt w:val="upperLetter"/>
      <w:pStyle w:val="Ttulo3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F191E59"/>
    <w:multiLevelType w:val="hybridMultilevel"/>
    <w:tmpl w:val="5EF2D3B4"/>
    <w:lvl w:ilvl="0" w:tplc="5F6084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EE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63180"/>
    <w:multiLevelType w:val="multilevel"/>
    <w:tmpl w:val="B5E229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2DC4CAB"/>
    <w:multiLevelType w:val="multilevel"/>
    <w:tmpl w:val="DB64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3720782C"/>
    <w:multiLevelType w:val="hybridMultilevel"/>
    <w:tmpl w:val="781C68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26B71"/>
    <w:multiLevelType w:val="hybridMultilevel"/>
    <w:tmpl w:val="96F6D618"/>
    <w:lvl w:ilvl="0" w:tplc="7F02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D5E65"/>
    <w:multiLevelType w:val="hybridMultilevel"/>
    <w:tmpl w:val="584CAC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861"/>
    <w:multiLevelType w:val="hybridMultilevel"/>
    <w:tmpl w:val="38B4B3E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30AB7"/>
    <w:multiLevelType w:val="hybridMultilevel"/>
    <w:tmpl w:val="F24CE690"/>
    <w:lvl w:ilvl="0" w:tplc="70E2279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8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53F02"/>
    <w:multiLevelType w:val="hybridMultilevel"/>
    <w:tmpl w:val="BEC2BA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E592A"/>
    <w:multiLevelType w:val="hybridMultilevel"/>
    <w:tmpl w:val="CBAAD0F8"/>
    <w:lvl w:ilvl="0" w:tplc="0C0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0B96C30"/>
    <w:multiLevelType w:val="hybridMultilevel"/>
    <w:tmpl w:val="92403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15DD5"/>
    <w:multiLevelType w:val="hybridMultilevel"/>
    <w:tmpl w:val="DC1A7F1C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D2163"/>
    <w:multiLevelType w:val="multilevel"/>
    <w:tmpl w:val="F2762294"/>
    <w:lvl w:ilvl="0">
      <w:start w:val="3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none"/>
      <w:lvlText w:val="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8221360"/>
    <w:multiLevelType w:val="hybridMultilevel"/>
    <w:tmpl w:val="D4901B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371DDC"/>
    <w:multiLevelType w:val="hybridMultilevel"/>
    <w:tmpl w:val="8F9A7F96"/>
    <w:lvl w:ilvl="0" w:tplc="147C31E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47D4E0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23273">
    <w:abstractNumId w:val="1"/>
  </w:num>
  <w:num w:numId="2" w16cid:durableId="1963490706">
    <w:abstractNumId w:val="0"/>
  </w:num>
  <w:num w:numId="3" w16cid:durableId="1728606731">
    <w:abstractNumId w:val="3"/>
  </w:num>
  <w:num w:numId="4" w16cid:durableId="1105463633">
    <w:abstractNumId w:val="12"/>
  </w:num>
  <w:num w:numId="5" w16cid:durableId="1961767155">
    <w:abstractNumId w:val="13"/>
  </w:num>
  <w:num w:numId="6" w16cid:durableId="165247515">
    <w:abstractNumId w:val="11"/>
  </w:num>
  <w:num w:numId="7" w16cid:durableId="1420062391">
    <w:abstractNumId w:val="4"/>
  </w:num>
  <w:num w:numId="8" w16cid:durableId="1966302275">
    <w:abstractNumId w:val="5"/>
  </w:num>
  <w:num w:numId="9" w16cid:durableId="746267593">
    <w:abstractNumId w:val="25"/>
  </w:num>
  <w:num w:numId="10" w16cid:durableId="1815372613">
    <w:abstractNumId w:val="7"/>
  </w:num>
  <w:num w:numId="11" w16cid:durableId="1047988890">
    <w:abstractNumId w:val="27"/>
  </w:num>
  <w:num w:numId="12" w16cid:durableId="18702055">
    <w:abstractNumId w:val="14"/>
  </w:num>
  <w:num w:numId="13" w16cid:durableId="241725789">
    <w:abstractNumId w:val="20"/>
  </w:num>
  <w:num w:numId="14" w16cid:durableId="1065418889">
    <w:abstractNumId w:val="15"/>
  </w:num>
  <w:num w:numId="15" w16cid:durableId="1427312574">
    <w:abstractNumId w:val="10"/>
  </w:num>
  <w:num w:numId="16" w16cid:durableId="1925531462">
    <w:abstractNumId w:val="24"/>
  </w:num>
  <w:num w:numId="17" w16cid:durableId="529342505">
    <w:abstractNumId w:val="18"/>
  </w:num>
  <w:num w:numId="18" w16cid:durableId="1679648913">
    <w:abstractNumId w:val="8"/>
  </w:num>
  <w:num w:numId="19" w16cid:durableId="945818236">
    <w:abstractNumId w:val="9"/>
  </w:num>
  <w:num w:numId="20" w16cid:durableId="1499425945">
    <w:abstractNumId w:val="22"/>
  </w:num>
  <w:num w:numId="21" w16cid:durableId="1733235994">
    <w:abstractNumId w:val="19"/>
  </w:num>
  <w:num w:numId="22" w16cid:durableId="116022806">
    <w:abstractNumId w:val="6"/>
  </w:num>
  <w:num w:numId="23" w16cid:durableId="954095903">
    <w:abstractNumId w:val="2"/>
  </w:num>
  <w:num w:numId="24" w16cid:durableId="999428905">
    <w:abstractNumId w:val="16"/>
  </w:num>
  <w:num w:numId="25" w16cid:durableId="430706730">
    <w:abstractNumId w:val="26"/>
  </w:num>
  <w:num w:numId="26" w16cid:durableId="694888127">
    <w:abstractNumId w:val="21"/>
  </w:num>
  <w:num w:numId="27" w16cid:durableId="1124539258">
    <w:abstractNumId w:val="23"/>
  </w:num>
  <w:num w:numId="28" w16cid:durableId="19143186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61"/>
    <w:rsid w:val="00004DE6"/>
    <w:rsid w:val="0001332B"/>
    <w:rsid w:val="00014C73"/>
    <w:rsid w:val="00064781"/>
    <w:rsid w:val="00066720"/>
    <w:rsid w:val="00066A74"/>
    <w:rsid w:val="000A1375"/>
    <w:rsid w:val="000A7FC0"/>
    <w:rsid w:val="000B5262"/>
    <w:rsid w:val="000E0376"/>
    <w:rsid w:val="000E493C"/>
    <w:rsid w:val="000F00AC"/>
    <w:rsid w:val="00104A17"/>
    <w:rsid w:val="0012269B"/>
    <w:rsid w:val="0013031B"/>
    <w:rsid w:val="00130569"/>
    <w:rsid w:val="001423A1"/>
    <w:rsid w:val="001671C4"/>
    <w:rsid w:val="001748C0"/>
    <w:rsid w:val="001F7605"/>
    <w:rsid w:val="00201524"/>
    <w:rsid w:val="00213D67"/>
    <w:rsid w:val="00215AD6"/>
    <w:rsid w:val="00221F0F"/>
    <w:rsid w:val="00221F73"/>
    <w:rsid w:val="00226431"/>
    <w:rsid w:val="002301B3"/>
    <w:rsid w:val="0024133C"/>
    <w:rsid w:val="00252686"/>
    <w:rsid w:val="00254843"/>
    <w:rsid w:val="00254FF7"/>
    <w:rsid w:val="00256088"/>
    <w:rsid w:val="00296AEE"/>
    <w:rsid w:val="002A4346"/>
    <w:rsid w:val="002B2092"/>
    <w:rsid w:val="002C228A"/>
    <w:rsid w:val="002D1876"/>
    <w:rsid w:val="002D3E20"/>
    <w:rsid w:val="0034000A"/>
    <w:rsid w:val="003460F9"/>
    <w:rsid w:val="003466D8"/>
    <w:rsid w:val="003776B3"/>
    <w:rsid w:val="00380552"/>
    <w:rsid w:val="0038218C"/>
    <w:rsid w:val="00385DD8"/>
    <w:rsid w:val="003923E9"/>
    <w:rsid w:val="003942FC"/>
    <w:rsid w:val="0039764F"/>
    <w:rsid w:val="003B46E6"/>
    <w:rsid w:val="003B5E95"/>
    <w:rsid w:val="003C0A1C"/>
    <w:rsid w:val="003C0F1B"/>
    <w:rsid w:val="003C5F3D"/>
    <w:rsid w:val="003D1A47"/>
    <w:rsid w:val="003F1F68"/>
    <w:rsid w:val="004151A6"/>
    <w:rsid w:val="004204FF"/>
    <w:rsid w:val="00430F82"/>
    <w:rsid w:val="00456230"/>
    <w:rsid w:val="00472451"/>
    <w:rsid w:val="004774A1"/>
    <w:rsid w:val="00493285"/>
    <w:rsid w:val="004A392D"/>
    <w:rsid w:val="004B2B39"/>
    <w:rsid w:val="004B7DB2"/>
    <w:rsid w:val="004C1D81"/>
    <w:rsid w:val="004C37AB"/>
    <w:rsid w:val="004D3C5D"/>
    <w:rsid w:val="004D5079"/>
    <w:rsid w:val="004E2ED9"/>
    <w:rsid w:val="004F3BD2"/>
    <w:rsid w:val="005333CC"/>
    <w:rsid w:val="0054157F"/>
    <w:rsid w:val="0055578B"/>
    <w:rsid w:val="00566025"/>
    <w:rsid w:val="005824C3"/>
    <w:rsid w:val="00587FC1"/>
    <w:rsid w:val="00592C21"/>
    <w:rsid w:val="005A114F"/>
    <w:rsid w:val="005A31FE"/>
    <w:rsid w:val="005B04C9"/>
    <w:rsid w:val="005C7C79"/>
    <w:rsid w:val="005D12FD"/>
    <w:rsid w:val="005D6014"/>
    <w:rsid w:val="006067B0"/>
    <w:rsid w:val="0061774F"/>
    <w:rsid w:val="00633A4B"/>
    <w:rsid w:val="00653BEA"/>
    <w:rsid w:val="00661396"/>
    <w:rsid w:val="00665A25"/>
    <w:rsid w:val="00667CA1"/>
    <w:rsid w:val="00691CEA"/>
    <w:rsid w:val="00695B99"/>
    <w:rsid w:val="006B3435"/>
    <w:rsid w:val="006C2770"/>
    <w:rsid w:val="007028B1"/>
    <w:rsid w:val="00712073"/>
    <w:rsid w:val="00734D93"/>
    <w:rsid w:val="00744A52"/>
    <w:rsid w:val="0074505B"/>
    <w:rsid w:val="00755335"/>
    <w:rsid w:val="007813F8"/>
    <w:rsid w:val="00794437"/>
    <w:rsid w:val="007A2221"/>
    <w:rsid w:val="007B555A"/>
    <w:rsid w:val="007C1EA0"/>
    <w:rsid w:val="007D4223"/>
    <w:rsid w:val="007D53B0"/>
    <w:rsid w:val="007E330C"/>
    <w:rsid w:val="007F0A4C"/>
    <w:rsid w:val="00801320"/>
    <w:rsid w:val="00802CEE"/>
    <w:rsid w:val="00812C8A"/>
    <w:rsid w:val="0081362E"/>
    <w:rsid w:val="008170C1"/>
    <w:rsid w:val="00837734"/>
    <w:rsid w:val="00837C52"/>
    <w:rsid w:val="00847BE7"/>
    <w:rsid w:val="00850139"/>
    <w:rsid w:val="008536B5"/>
    <w:rsid w:val="00860B54"/>
    <w:rsid w:val="00867EC5"/>
    <w:rsid w:val="00877EA2"/>
    <w:rsid w:val="00896E32"/>
    <w:rsid w:val="008A6835"/>
    <w:rsid w:val="008C0DAA"/>
    <w:rsid w:val="008D172A"/>
    <w:rsid w:val="008E3424"/>
    <w:rsid w:val="008F35C6"/>
    <w:rsid w:val="008F3FED"/>
    <w:rsid w:val="00924872"/>
    <w:rsid w:val="009512D3"/>
    <w:rsid w:val="00994A67"/>
    <w:rsid w:val="009B0229"/>
    <w:rsid w:val="009C6563"/>
    <w:rsid w:val="009D00F5"/>
    <w:rsid w:val="00A06BF4"/>
    <w:rsid w:val="00A12B01"/>
    <w:rsid w:val="00A211EF"/>
    <w:rsid w:val="00A329C3"/>
    <w:rsid w:val="00A41910"/>
    <w:rsid w:val="00A45952"/>
    <w:rsid w:val="00A65BFC"/>
    <w:rsid w:val="00A70115"/>
    <w:rsid w:val="00A85592"/>
    <w:rsid w:val="00A8567F"/>
    <w:rsid w:val="00AC53BF"/>
    <w:rsid w:val="00AE52E8"/>
    <w:rsid w:val="00AF7722"/>
    <w:rsid w:val="00B27661"/>
    <w:rsid w:val="00B27B1B"/>
    <w:rsid w:val="00B53F1A"/>
    <w:rsid w:val="00B5622E"/>
    <w:rsid w:val="00B62B71"/>
    <w:rsid w:val="00B81E19"/>
    <w:rsid w:val="00BA1487"/>
    <w:rsid w:val="00BF0ED4"/>
    <w:rsid w:val="00BF1DA9"/>
    <w:rsid w:val="00BF26C5"/>
    <w:rsid w:val="00C27C19"/>
    <w:rsid w:val="00C476D1"/>
    <w:rsid w:val="00C531B6"/>
    <w:rsid w:val="00C60072"/>
    <w:rsid w:val="00C671EF"/>
    <w:rsid w:val="00C715F3"/>
    <w:rsid w:val="00C7317A"/>
    <w:rsid w:val="00C90C03"/>
    <w:rsid w:val="00CA1C40"/>
    <w:rsid w:val="00CB4878"/>
    <w:rsid w:val="00CE0FC9"/>
    <w:rsid w:val="00CE7281"/>
    <w:rsid w:val="00CF155F"/>
    <w:rsid w:val="00D1417F"/>
    <w:rsid w:val="00D162B9"/>
    <w:rsid w:val="00D226A1"/>
    <w:rsid w:val="00D4084A"/>
    <w:rsid w:val="00D42F8D"/>
    <w:rsid w:val="00D441D6"/>
    <w:rsid w:val="00D452DA"/>
    <w:rsid w:val="00D4684D"/>
    <w:rsid w:val="00D545EA"/>
    <w:rsid w:val="00D54944"/>
    <w:rsid w:val="00D73A8A"/>
    <w:rsid w:val="00D90B88"/>
    <w:rsid w:val="00DB07C3"/>
    <w:rsid w:val="00DE3501"/>
    <w:rsid w:val="00E01B46"/>
    <w:rsid w:val="00E56D18"/>
    <w:rsid w:val="00E752F2"/>
    <w:rsid w:val="00E76FA6"/>
    <w:rsid w:val="00E812BA"/>
    <w:rsid w:val="00E932B4"/>
    <w:rsid w:val="00E96013"/>
    <w:rsid w:val="00EA4D60"/>
    <w:rsid w:val="00EC3449"/>
    <w:rsid w:val="00EC4EEC"/>
    <w:rsid w:val="00EE54BD"/>
    <w:rsid w:val="00F25DD5"/>
    <w:rsid w:val="00F438E5"/>
    <w:rsid w:val="00F74EBE"/>
    <w:rsid w:val="00F86DF8"/>
    <w:rsid w:val="00F9402A"/>
    <w:rsid w:val="00F94E04"/>
    <w:rsid w:val="00FA42DB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0541A04"/>
  <w15:chartTrackingRefBased/>
  <w15:docId w15:val="{00A8C811-9D65-4FE3-877B-DE2D95A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E2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27661"/>
    <w:pPr>
      <w:keepNext/>
      <w:outlineLvl w:val="0"/>
    </w:pPr>
    <w:rPr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rsid w:val="00B27661"/>
    <w:pPr>
      <w:keepNext/>
      <w:outlineLvl w:val="1"/>
    </w:pPr>
    <w:rPr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rsid w:val="00B27661"/>
    <w:pPr>
      <w:keepNext/>
      <w:numPr>
        <w:numId w:val="4"/>
      </w:numPr>
      <w:jc w:val="both"/>
      <w:outlineLvl w:val="2"/>
    </w:pPr>
    <w:rPr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B27661"/>
    <w:pPr>
      <w:keepNext/>
      <w:jc w:val="center"/>
      <w:outlineLvl w:val="3"/>
    </w:pPr>
    <w:rPr>
      <w:rFonts w:ascii="Arial" w:hAnsi="Arial"/>
      <w:b/>
      <w:sz w:val="20"/>
      <w:szCs w:val="20"/>
      <w:lang w:val="es-MX"/>
    </w:rPr>
  </w:style>
  <w:style w:type="paragraph" w:styleId="Ttulo5">
    <w:name w:val="heading 5"/>
    <w:basedOn w:val="Normal"/>
    <w:next w:val="Normal"/>
    <w:qFormat/>
    <w:rsid w:val="00B27661"/>
    <w:pPr>
      <w:keepNext/>
      <w:jc w:val="center"/>
      <w:outlineLvl w:val="4"/>
    </w:pPr>
    <w:rPr>
      <w:rFonts w:ascii="Arial" w:hAnsi="Arial" w:cs="Arial"/>
      <w:b/>
      <w:bCs/>
      <w:sz w:val="28"/>
      <w:lang w:val="es-MX"/>
    </w:rPr>
  </w:style>
  <w:style w:type="paragraph" w:styleId="Ttulo6">
    <w:name w:val="heading 6"/>
    <w:basedOn w:val="Normal"/>
    <w:next w:val="Normal"/>
    <w:qFormat/>
    <w:rsid w:val="00B27661"/>
    <w:pPr>
      <w:keepNext/>
      <w:jc w:val="center"/>
      <w:outlineLvl w:val="5"/>
    </w:pPr>
    <w:rPr>
      <w:rFonts w:ascii="Arial" w:hAnsi="Arial"/>
      <w:b/>
      <w:sz w:val="20"/>
      <w:szCs w:val="20"/>
      <w:u w:val="single"/>
      <w:lang w:val="es-MX"/>
    </w:rPr>
  </w:style>
  <w:style w:type="paragraph" w:styleId="Ttulo7">
    <w:name w:val="heading 7"/>
    <w:basedOn w:val="Normal"/>
    <w:next w:val="Normal"/>
    <w:qFormat/>
    <w:rsid w:val="00B27661"/>
    <w:pPr>
      <w:keepNext/>
      <w:numPr>
        <w:ilvl w:val="12"/>
      </w:numPr>
      <w:ind w:left="708" w:hanging="708"/>
      <w:jc w:val="center"/>
      <w:outlineLvl w:val="6"/>
    </w:pPr>
    <w:rPr>
      <w:rFonts w:ascii="Arial" w:hAnsi="Arial"/>
      <w:b/>
      <w:lang w:val="es-MX"/>
    </w:rPr>
  </w:style>
  <w:style w:type="paragraph" w:styleId="Ttulo8">
    <w:name w:val="heading 8"/>
    <w:basedOn w:val="Normal"/>
    <w:next w:val="Normal"/>
    <w:qFormat/>
    <w:rsid w:val="00B27661"/>
    <w:pPr>
      <w:keepNext/>
      <w:shd w:val="clear" w:color="auto" w:fill="FFFFFF"/>
      <w:jc w:val="center"/>
      <w:outlineLvl w:val="7"/>
    </w:pPr>
    <w:rPr>
      <w:rFonts w:ascii="Arial" w:hAnsi="Arial"/>
      <w:b/>
      <w:snapToGrid w:val="0"/>
      <w:color w:val="000000"/>
      <w:sz w:val="28"/>
      <w:lang w:val="es-ES_tradnl"/>
    </w:rPr>
  </w:style>
  <w:style w:type="paragraph" w:styleId="Ttulo9">
    <w:name w:val="heading 9"/>
    <w:basedOn w:val="Normal"/>
    <w:next w:val="Normal"/>
    <w:qFormat/>
    <w:rsid w:val="00B27661"/>
    <w:pPr>
      <w:keepNext/>
      <w:tabs>
        <w:tab w:val="left" w:pos="3024"/>
        <w:tab w:val="left" w:pos="4608"/>
      </w:tabs>
      <w:spacing w:line="120" w:lineRule="atLeast"/>
      <w:outlineLvl w:val="8"/>
    </w:pPr>
    <w:rPr>
      <w:rFonts w:ascii="Arial" w:hAnsi="Arial"/>
      <w:b/>
      <w:color w:val="000000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B27661"/>
    <w:pPr>
      <w:numPr>
        <w:numId w:val="1"/>
      </w:numPr>
    </w:pPr>
    <w:rPr>
      <w:sz w:val="20"/>
      <w:szCs w:val="20"/>
      <w:lang w:val="es-MX"/>
    </w:rPr>
  </w:style>
  <w:style w:type="paragraph" w:styleId="Listaconvietas2">
    <w:name w:val="List Bullet 2"/>
    <w:basedOn w:val="Normal"/>
    <w:autoRedefine/>
    <w:rsid w:val="00B27661"/>
    <w:pPr>
      <w:numPr>
        <w:numId w:val="2"/>
      </w:numPr>
    </w:pPr>
    <w:rPr>
      <w:sz w:val="20"/>
      <w:szCs w:val="20"/>
      <w:lang w:val="es-MX"/>
    </w:rPr>
  </w:style>
  <w:style w:type="paragraph" w:styleId="Textoindependiente">
    <w:name w:val="Body Text"/>
    <w:basedOn w:val="Normal"/>
    <w:rsid w:val="00B27661"/>
    <w:pPr>
      <w:jc w:val="both"/>
    </w:pPr>
    <w:rPr>
      <w:sz w:val="20"/>
      <w:szCs w:val="20"/>
      <w:lang w:val="es-MX"/>
    </w:rPr>
  </w:style>
  <w:style w:type="paragraph" w:styleId="Textoindependiente2">
    <w:name w:val="Body Text 2"/>
    <w:basedOn w:val="Normal"/>
    <w:rsid w:val="00B27661"/>
    <w:pPr>
      <w:tabs>
        <w:tab w:val="left" w:pos="3024"/>
        <w:tab w:val="left" w:pos="4608"/>
      </w:tabs>
      <w:spacing w:line="120" w:lineRule="atLeast"/>
      <w:jc w:val="both"/>
    </w:pPr>
    <w:rPr>
      <w:rFonts w:ascii="Arial" w:hAnsi="Arial"/>
      <w:b/>
      <w:color w:val="000000"/>
      <w:sz w:val="15"/>
      <w:szCs w:val="20"/>
      <w:lang w:val="es-MX"/>
    </w:rPr>
  </w:style>
  <w:style w:type="paragraph" w:styleId="Encabezado">
    <w:name w:val="header"/>
    <w:basedOn w:val="Normal"/>
    <w:rsid w:val="00B27661"/>
    <w:pPr>
      <w:tabs>
        <w:tab w:val="center" w:pos="4252"/>
        <w:tab w:val="right" w:pos="8504"/>
      </w:tabs>
    </w:pPr>
    <w:rPr>
      <w:sz w:val="20"/>
      <w:szCs w:val="20"/>
      <w:lang w:val="es-MX"/>
    </w:rPr>
  </w:style>
  <w:style w:type="paragraph" w:customStyle="1" w:styleId="texto">
    <w:name w:val="texto"/>
    <w:basedOn w:val="Normal"/>
    <w:rsid w:val="00B2766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B27661"/>
    <w:pPr>
      <w:jc w:val="both"/>
    </w:pPr>
    <w:rPr>
      <w:rFonts w:ascii="Arial" w:hAnsi="Arial"/>
      <w:sz w:val="20"/>
      <w:szCs w:val="20"/>
      <w:lang w:val="es-MX"/>
    </w:rPr>
  </w:style>
  <w:style w:type="paragraph" w:customStyle="1" w:styleId="INCISO">
    <w:name w:val="INCISO"/>
    <w:basedOn w:val="Normal"/>
    <w:rsid w:val="00B27661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font5">
    <w:name w:val="font5"/>
    <w:basedOn w:val="Normal"/>
    <w:rsid w:val="00B27661"/>
    <w:pPr>
      <w:spacing w:before="100" w:beforeAutospacing="1" w:after="100" w:afterAutospacing="1"/>
    </w:pPr>
    <w:rPr>
      <w:rFonts w:ascii="Arial" w:hAnsi="Arial" w:cs="Arial"/>
      <w:sz w:val="18"/>
      <w:szCs w:val="18"/>
      <w:lang w:val="es-MX"/>
    </w:rPr>
  </w:style>
  <w:style w:type="paragraph" w:styleId="Sangra2detindependiente">
    <w:name w:val="Body Text Indent 2"/>
    <w:basedOn w:val="Normal"/>
    <w:rsid w:val="00B27661"/>
    <w:pPr>
      <w:tabs>
        <w:tab w:val="left" w:pos="1584"/>
        <w:tab w:val="left" w:pos="2304"/>
        <w:tab w:val="left" w:pos="3024"/>
        <w:tab w:val="left" w:pos="4608"/>
      </w:tabs>
      <w:spacing w:line="120" w:lineRule="atLeast"/>
      <w:ind w:left="567" w:hanging="567"/>
      <w:jc w:val="both"/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Normal"/>
    <w:rsid w:val="00B27661"/>
    <w:pPr>
      <w:widowControl w:val="0"/>
      <w:tabs>
        <w:tab w:val="left" w:pos="1134"/>
        <w:tab w:val="left" w:pos="1276"/>
      </w:tabs>
      <w:ind w:left="1134" w:hanging="425"/>
      <w:jc w:val="both"/>
    </w:pPr>
    <w:rPr>
      <w:rFonts w:ascii="Arial" w:hAnsi="Arial"/>
      <w:sz w:val="20"/>
      <w:szCs w:val="20"/>
      <w:lang w:val="es-MX"/>
    </w:rPr>
  </w:style>
  <w:style w:type="paragraph" w:styleId="Sangra3detindependiente">
    <w:name w:val="Body Text Indent 3"/>
    <w:basedOn w:val="Normal"/>
    <w:rsid w:val="00B27661"/>
    <w:pPr>
      <w:tabs>
        <w:tab w:val="left" w:pos="1584"/>
        <w:tab w:val="left" w:pos="2304"/>
        <w:tab w:val="left" w:pos="3024"/>
        <w:tab w:val="left" w:pos="4608"/>
      </w:tabs>
      <w:spacing w:line="120" w:lineRule="atLeast"/>
      <w:ind w:left="426" w:hanging="426"/>
      <w:jc w:val="both"/>
    </w:pPr>
    <w:rPr>
      <w:rFonts w:ascii="Arial" w:hAnsi="Arial"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B27661"/>
    <w:pPr>
      <w:tabs>
        <w:tab w:val="center" w:pos="4419"/>
        <w:tab w:val="right" w:pos="8838"/>
      </w:tabs>
    </w:pPr>
    <w:rPr>
      <w:lang w:val="es-MX"/>
    </w:rPr>
  </w:style>
  <w:style w:type="paragraph" w:styleId="Ttulo">
    <w:name w:val="Title"/>
    <w:basedOn w:val="Normal"/>
    <w:qFormat/>
    <w:rsid w:val="00B2766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 w:eastAsia="en-US"/>
    </w:rPr>
  </w:style>
  <w:style w:type="paragraph" w:customStyle="1" w:styleId="Texto0">
    <w:name w:val="Texto"/>
    <w:basedOn w:val="Normal"/>
    <w:rsid w:val="00B27661"/>
    <w:pPr>
      <w:tabs>
        <w:tab w:val="right" w:pos="9306"/>
      </w:tabs>
      <w:spacing w:before="240"/>
      <w:jc w:val="both"/>
    </w:pPr>
    <w:rPr>
      <w:rFonts w:ascii="Arial" w:hAnsi="Arial"/>
      <w:szCs w:val="20"/>
      <w:lang w:val="en-US"/>
    </w:rPr>
  </w:style>
  <w:style w:type="character" w:styleId="Nmerodepgina">
    <w:name w:val="page number"/>
    <w:basedOn w:val="Fuentedeprrafopredeter"/>
    <w:rsid w:val="00B27661"/>
  </w:style>
  <w:style w:type="paragraph" w:styleId="Sangradetextonormal">
    <w:name w:val="Body Text Indent"/>
    <w:basedOn w:val="Normal"/>
    <w:rsid w:val="00B27661"/>
    <w:pPr>
      <w:pBdr>
        <w:top w:val="thickThinSmallGap" w:sz="24" w:space="1" w:color="auto"/>
        <w:left w:val="thickThinSmallGap" w:sz="24" w:space="0" w:color="auto"/>
        <w:bottom w:val="thickThinSmallGap" w:sz="24" w:space="1" w:color="auto"/>
        <w:right w:val="thickThinSmallGap" w:sz="24" w:space="31" w:color="auto"/>
      </w:pBdr>
      <w:ind w:firstLine="708"/>
      <w:jc w:val="center"/>
    </w:pPr>
    <w:rPr>
      <w:rFonts w:ascii="Arial" w:hAnsi="Arial"/>
      <w:b/>
      <w:i/>
      <w:sz w:val="40"/>
    </w:rPr>
  </w:style>
  <w:style w:type="table" w:styleId="Tablaconcuadrcula">
    <w:name w:val="Table Grid"/>
    <w:basedOn w:val="Tablanormal"/>
    <w:rsid w:val="00B2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27661"/>
    <w:rPr>
      <w:color w:val="0000FF"/>
      <w:u w:val="single"/>
    </w:rPr>
  </w:style>
  <w:style w:type="paragraph" w:styleId="NormalWeb">
    <w:name w:val="Normal (Web)"/>
    <w:basedOn w:val="Normal"/>
    <w:rsid w:val="00B27661"/>
    <w:pPr>
      <w:spacing w:before="100" w:beforeAutospacing="1" w:after="100" w:afterAutospacing="1"/>
    </w:pPr>
    <w:rPr>
      <w:lang w:val="es-MX" w:eastAsia="es-MX"/>
    </w:rPr>
  </w:style>
  <w:style w:type="paragraph" w:customStyle="1" w:styleId="xl23">
    <w:name w:val="xl23"/>
    <w:basedOn w:val="Normal"/>
    <w:rsid w:val="00B2766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Textodenotaalfinal">
    <w:name w:val="Texto de nota al final"/>
    <w:basedOn w:val="Normal"/>
    <w:rsid w:val="00B27661"/>
    <w:pPr>
      <w:widowControl w:val="0"/>
    </w:pPr>
    <w:rPr>
      <w:rFonts w:ascii="Univers" w:hAnsi="Univers"/>
      <w:snapToGrid w:val="0"/>
      <w:szCs w:val="20"/>
    </w:rPr>
  </w:style>
  <w:style w:type="paragraph" w:customStyle="1" w:styleId="Textodenotaalpie">
    <w:name w:val="Texto de nota al pie"/>
    <w:basedOn w:val="Normal"/>
    <w:rsid w:val="00B27661"/>
    <w:pPr>
      <w:widowControl w:val="0"/>
    </w:pPr>
    <w:rPr>
      <w:rFonts w:ascii="Univers" w:hAnsi="Univers"/>
      <w:snapToGrid w:val="0"/>
      <w:szCs w:val="20"/>
    </w:rPr>
  </w:style>
  <w:style w:type="paragraph" w:customStyle="1" w:styleId="Tdc1">
    <w:name w:val="Tdc 1"/>
    <w:basedOn w:val="Normal"/>
    <w:rsid w:val="00B2766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2">
    <w:name w:val="Tdc 2"/>
    <w:basedOn w:val="Normal"/>
    <w:rsid w:val="00B27661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3">
    <w:name w:val="Tdc 3"/>
    <w:basedOn w:val="Normal"/>
    <w:rsid w:val="00B27661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4">
    <w:name w:val="Tdc 4"/>
    <w:basedOn w:val="Normal"/>
    <w:rsid w:val="00B27661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5">
    <w:name w:val="Tdc 5"/>
    <w:basedOn w:val="Normal"/>
    <w:rsid w:val="00B27661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6">
    <w:name w:val="Tdc 6"/>
    <w:basedOn w:val="Normal"/>
    <w:rsid w:val="00B27661"/>
    <w:pPr>
      <w:widowControl w:val="0"/>
      <w:tabs>
        <w:tab w:val="right" w:pos="9360"/>
      </w:tabs>
      <w:suppressAutoHyphens/>
      <w:ind w:lef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7">
    <w:name w:val="Tdc 7"/>
    <w:basedOn w:val="Normal"/>
    <w:rsid w:val="00B27661"/>
    <w:pPr>
      <w:widowControl w:val="0"/>
      <w:suppressAutoHyphens/>
      <w:ind w:lef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8">
    <w:name w:val="Tdc 8"/>
    <w:basedOn w:val="Normal"/>
    <w:rsid w:val="00B27661"/>
    <w:pPr>
      <w:widowControl w:val="0"/>
      <w:tabs>
        <w:tab w:val="right" w:pos="9360"/>
      </w:tabs>
      <w:suppressAutoHyphens/>
      <w:ind w:left="720" w:hanging="720"/>
    </w:pPr>
    <w:rPr>
      <w:rFonts w:ascii="Univers" w:hAnsi="Univers"/>
      <w:snapToGrid w:val="0"/>
      <w:szCs w:val="20"/>
      <w:lang w:val="en-US"/>
    </w:rPr>
  </w:style>
  <w:style w:type="paragraph" w:customStyle="1" w:styleId="Tdc9">
    <w:name w:val="Tdc 9"/>
    <w:basedOn w:val="Normal"/>
    <w:rsid w:val="00B27661"/>
    <w:pPr>
      <w:widowControl w:val="0"/>
      <w:tabs>
        <w:tab w:val="right" w:leader="dot" w:pos="9360"/>
      </w:tabs>
      <w:suppressAutoHyphens/>
      <w:ind w:left="720" w:hanging="720"/>
    </w:pPr>
    <w:rPr>
      <w:rFonts w:ascii="Univers" w:hAnsi="Univers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B27661"/>
    <w:pPr>
      <w:widowControl w:val="0"/>
      <w:tabs>
        <w:tab w:val="right" w:pos="9360"/>
      </w:tabs>
      <w:suppressAutoHyphens/>
    </w:pPr>
    <w:rPr>
      <w:rFonts w:ascii="Univers" w:hAnsi="Univers"/>
      <w:snapToGrid w:val="0"/>
      <w:szCs w:val="20"/>
      <w:lang w:val="en-US"/>
    </w:rPr>
  </w:style>
  <w:style w:type="character" w:customStyle="1" w:styleId="EquationCaption">
    <w:name w:val="_Equation Caption"/>
    <w:rsid w:val="00B27661"/>
  </w:style>
  <w:style w:type="character" w:customStyle="1" w:styleId="PiedepginaCar">
    <w:name w:val="Pie de página Car"/>
    <w:link w:val="Piedepgina"/>
    <w:uiPriority w:val="99"/>
    <w:rsid w:val="003C0A1C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C0A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C0A1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8D45-3375-4E6C-A68D-62F4A8A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Electoral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Marianho Edu Ponce Reyes</dc:creator>
  <cp:keywords/>
  <cp:lastModifiedBy>Alonso Claveran Curzio</cp:lastModifiedBy>
  <cp:revision>2</cp:revision>
  <cp:lastPrinted>2017-12-28T19:18:00Z</cp:lastPrinted>
  <dcterms:created xsi:type="dcterms:W3CDTF">2023-08-31T16:51:00Z</dcterms:created>
  <dcterms:modified xsi:type="dcterms:W3CDTF">2023-08-31T16:51:00Z</dcterms:modified>
</cp:coreProperties>
</file>