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03F6" w14:textId="785B1972" w:rsidR="00240C4C" w:rsidRDefault="00240C4C" w:rsidP="00240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Ciudad de México, a </w:t>
      </w:r>
      <w:r w:rsidR="00F849F5">
        <w:rPr>
          <w:rFonts w:ascii="Arial" w:eastAsia="Arial" w:hAnsi="Arial" w:cs="Arial"/>
          <w:b/>
          <w:color w:val="000000"/>
          <w:sz w:val="24"/>
          <w:szCs w:val="24"/>
        </w:rPr>
        <w:t>04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r w:rsidR="00F849F5">
        <w:rPr>
          <w:rFonts w:ascii="Arial" w:eastAsia="Arial" w:hAnsi="Arial" w:cs="Arial"/>
          <w:b/>
          <w:color w:val="000000"/>
          <w:sz w:val="24"/>
          <w:szCs w:val="24"/>
        </w:rPr>
        <w:t>septiembre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202</w:t>
      </w:r>
      <w:r w:rsidR="00F849F5">
        <w:rPr>
          <w:rFonts w:ascii="Arial" w:eastAsia="Arial" w:hAnsi="Arial" w:cs="Arial"/>
          <w:b/>
          <w:color w:val="000000"/>
          <w:sz w:val="24"/>
          <w:szCs w:val="24"/>
        </w:rPr>
        <w:t>3</w:t>
      </w:r>
    </w:p>
    <w:p w14:paraId="514B655C" w14:textId="547C6040" w:rsidR="00240C4C" w:rsidRDefault="00240C4C" w:rsidP="00240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14:paraId="79DD4F93" w14:textId="77777777" w:rsidR="00411087" w:rsidRDefault="00411087" w:rsidP="00240C4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EA75AFD" w14:textId="77777777" w:rsidR="00240C4C" w:rsidRPr="00F949F9" w:rsidRDefault="00240C4C" w:rsidP="00240C4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F949F9">
        <w:rPr>
          <w:rFonts w:ascii="Arial" w:eastAsia="Arial" w:hAnsi="Arial" w:cs="Arial"/>
          <w:b/>
          <w:color w:val="000000"/>
          <w:sz w:val="24"/>
          <w:szCs w:val="24"/>
        </w:rPr>
        <w:t>ANEXO TÉCNICO</w:t>
      </w:r>
    </w:p>
    <w:p w14:paraId="42854B52" w14:textId="0745EB19" w:rsidR="00240C4C" w:rsidRDefault="00852F3F" w:rsidP="00240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900686">
        <w:rPr>
          <w:rFonts w:ascii="Arial" w:hAnsi="Arial" w:cs="Arial"/>
          <w:b/>
          <w:sz w:val="24"/>
          <w:szCs w:val="24"/>
        </w:rPr>
        <w:t>SERVICIO DE INTERPRETACIÓN DEL ESPAÑOL A LA LENGUA DE SEÑAS MEXICANA</w:t>
      </w:r>
      <w:r>
        <w:rPr>
          <w:rFonts w:ascii="Arial" w:hAnsi="Arial" w:cs="Arial"/>
          <w:b/>
          <w:sz w:val="24"/>
          <w:szCs w:val="24"/>
        </w:rPr>
        <w:t xml:space="preserve"> (LSM)</w:t>
      </w:r>
    </w:p>
    <w:p w14:paraId="04E677B6" w14:textId="77777777" w:rsidR="00240C4C" w:rsidRDefault="00240C4C" w:rsidP="00416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14:paraId="5573FB85" w14:textId="77777777" w:rsidR="00846D2D" w:rsidRDefault="00846D2D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</w:p>
    <w:p w14:paraId="69B41C54" w14:textId="45C3F4D4" w:rsidR="00AA0130" w:rsidRPr="001345E7" w:rsidRDefault="00AA0130" w:rsidP="00846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1345E7">
        <w:rPr>
          <w:rFonts w:ascii="Arial" w:eastAsia="MS Mincho" w:hAnsi="Arial" w:cs="Arial"/>
          <w:b/>
          <w:sz w:val="24"/>
          <w:szCs w:val="24"/>
          <w:lang w:val="es-ES" w:eastAsia="es-ES"/>
        </w:rPr>
        <w:t>Objetivo</w:t>
      </w:r>
    </w:p>
    <w:p w14:paraId="3DAFBCF3" w14:textId="77777777" w:rsidR="00AA0130" w:rsidRPr="001345E7" w:rsidRDefault="00AA0130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14:paraId="19F0887A" w14:textId="26C6071F" w:rsidR="00AA0130" w:rsidRPr="001345E7" w:rsidRDefault="00156A43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156A43">
        <w:rPr>
          <w:rFonts w:ascii="Arial" w:eastAsia="MS Mincho" w:hAnsi="Arial" w:cs="Arial"/>
          <w:sz w:val="24"/>
          <w:szCs w:val="24"/>
          <w:lang w:val="es-ES" w:eastAsia="es-ES"/>
        </w:rPr>
        <w:t>Contrata</w:t>
      </w:r>
      <w:r w:rsidR="00F655A3">
        <w:rPr>
          <w:rFonts w:ascii="Arial" w:eastAsia="MS Mincho" w:hAnsi="Arial" w:cs="Arial"/>
          <w:sz w:val="24"/>
          <w:szCs w:val="24"/>
          <w:lang w:val="es-ES" w:eastAsia="es-ES"/>
        </w:rPr>
        <w:t xml:space="preserve">r </w:t>
      </w:r>
      <w:r w:rsidRPr="00156A43">
        <w:rPr>
          <w:rFonts w:ascii="Arial" w:eastAsia="MS Mincho" w:hAnsi="Arial" w:cs="Arial"/>
          <w:sz w:val="24"/>
          <w:szCs w:val="24"/>
          <w:lang w:val="es-ES" w:eastAsia="es-ES"/>
        </w:rPr>
        <w:t xml:space="preserve">el servicio de Interpretación en Lengua de Señas Mexicana </w:t>
      </w:r>
      <w:r w:rsidR="00982A17">
        <w:rPr>
          <w:rFonts w:ascii="Arial" w:eastAsia="MS Mincho" w:hAnsi="Arial" w:cs="Arial"/>
          <w:sz w:val="24"/>
          <w:szCs w:val="24"/>
          <w:lang w:val="es-ES" w:eastAsia="es-ES"/>
        </w:rPr>
        <w:t xml:space="preserve">(LSM) </w:t>
      </w:r>
      <w:r w:rsidRPr="00156A43">
        <w:rPr>
          <w:rFonts w:ascii="Arial" w:eastAsia="MS Mincho" w:hAnsi="Arial" w:cs="Arial"/>
          <w:sz w:val="24"/>
          <w:szCs w:val="24"/>
          <w:lang w:val="es-ES" w:eastAsia="es-ES"/>
        </w:rPr>
        <w:t>de las actividades jurisdiccionales y/o académicas o cualquier otro evento que solicite el Tribunal Electoral del Poder Judicial de la Federación, del 1 de enero al 31 de diciemb</w:t>
      </w:r>
      <w:r w:rsidR="00675B2C">
        <w:rPr>
          <w:rFonts w:ascii="Arial" w:eastAsia="MS Mincho" w:hAnsi="Arial" w:cs="Arial"/>
          <w:sz w:val="24"/>
          <w:szCs w:val="24"/>
          <w:lang w:val="es-ES" w:eastAsia="es-ES"/>
        </w:rPr>
        <w:t>re de 202</w:t>
      </w:r>
      <w:r w:rsidR="00F849F5">
        <w:rPr>
          <w:rFonts w:ascii="Arial" w:eastAsia="MS Mincho" w:hAnsi="Arial" w:cs="Arial"/>
          <w:sz w:val="24"/>
          <w:szCs w:val="24"/>
          <w:lang w:val="es-ES" w:eastAsia="es-ES"/>
        </w:rPr>
        <w:t>4</w:t>
      </w:r>
      <w:r w:rsidRPr="00156A43">
        <w:rPr>
          <w:rFonts w:ascii="Arial" w:eastAsia="MS Mincho" w:hAnsi="Arial" w:cs="Arial"/>
          <w:sz w:val="24"/>
          <w:szCs w:val="24"/>
          <w:lang w:val="es-ES" w:eastAsia="es-ES"/>
        </w:rPr>
        <w:t>, a través de un contrato abierto con las especificaciones técnicas establecidas.</w:t>
      </w:r>
    </w:p>
    <w:p w14:paraId="3BB06DC3" w14:textId="77777777" w:rsidR="00AA0130" w:rsidRPr="001345E7" w:rsidRDefault="00AA0130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14:paraId="44928010" w14:textId="6B223548" w:rsidR="00AA0130" w:rsidRPr="001345E7" w:rsidRDefault="00156A43" w:rsidP="00846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156A43">
        <w:rPr>
          <w:rFonts w:ascii="Arial" w:eastAsia="MS Mincho" w:hAnsi="Arial" w:cs="Arial"/>
          <w:b/>
          <w:sz w:val="24"/>
          <w:szCs w:val="24"/>
          <w:lang w:eastAsia="es-ES"/>
        </w:rPr>
        <w:t>Periodo de prestación del servicio</w:t>
      </w:r>
    </w:p>
    <w:p w14:paraId="0038F257" w14:textId="77777777" w:rsidR="004C2BF9" w:rsidRDefault="004C2BF9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14:paraId="53627DAC" w14:textId="6440D8B2" w:rsidR="004C2666" w:rsidRDefault="004C2BF9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b/>
          <w:sz w:val="24"/>
          <w:szCs w:val="24"/>
          <w:lang w:val="es-ES" w:eastAsia="es-ES"/>
        </w:rPr>
      </w:pPr>
      <w:r w:rsidRPr="004C2BF9">
        <w:rPr>
          <w:rFonts w:ascii="Arial" w:eastAsia="MS Mincho" w:hAnsi="Arial" w:cs="Arial"/>
          <w:sz w:val="24"/>
          <w:szCs w:val="24"/>
          <w:lang w:val="es-ES" w:eastAsia="es-ES"/>
        </w:rPr>
        <w:t>Del 1 de en</w:t>
      </w:r>
      <w:r>
        <w:rPr>
          <w:rFonts w:ascii="Arial" w:eastAsia="MS Mincho" w:hAnsi="Arial" w:cs="Arial"/>
          <w:sz w:val="24"/>
          <w:szCs w:val="24"/>
          <w:lang w:val="es-ES" w:eastAsia="es-ES"/>
        </w:rPr>
        <w:t>ero al 31 de diciembre de 202</w:t>
      </w:r>
      <w:r w:rsidR="00F849F5">
        <w:rPr>
          <w:rFonts w:ascii="Arial" w:eastAsia="MS Mincho" w:hAnsi="Arial" w:cs="Arial"/>
          <w:sz w:val="24"/>
          <w:szCs w:val="24"/>
          <w:lang w:val="es-ES" w:eastAsia="es-ES"/>
        </w:rPr>
        <w:t>4</w:t>
      </w:r>
      <w:r w:rsidRPr="004C2BF9">
        <w:rPr>
          <w:rFonts w:ascii="Arial" w:eastAsia="MS Mincho" w:hAnsi="Arial" w:cs="Arial"/>
          <w:sz w:val="24"/>
          <w:szCs w:val="24"/>
          <w:lang w:val="es-ES" w:eastAsia="es-ES"/>
        </w:rPr>
        <w:t>.</w:t>
      </w:r>
    </w:p>
    <w:p w14:paraId="783DD27A" w14:textId="77777777" w:rsidR="004C2666" w:rsidRPr="001345E7" w:rsidRDefault="004C2666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14:paraId="37F42E7A" w14:textId="01A7BE83" w:rsidR="00982A17" w:rsidRDefault="00982A17" w:rsidP="00846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  <w:r w:rsidRPr="00982A17">
        <w:rPr>
          <w:rFonts w:ascii="Arial" w:eastAsia="MS Mincho" w:hAnsi="Arial" w:cs="Arial"/>
          <w:b/>
          <w:sz w:val="24"/>
          <w:szCs w:val="24"/>
          <w:lang w:eastAsia="es-ES"/>
        </w:rPr>
        <w:t>Lugar de prestación del servicio</w:t>
      </w:r>
    </w:p>
    <w:p w14:paraId="1B445479" w14:textId="77777777" w:rsidR="00982A17" w:rsidRDefault="00982A17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14:paraId="349EEAD3" w14:textId="0F5B8E0B" w:rsidR="00AA0130" w:rsidRPr="001345E7" w:rsidRDefault="00982A17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982A17">
        <w:rPr>
          <w:rFonts w:ascii="Arial" w:eastAsia="MS Mincho" w:hAnsi="Arial" w:cs="Arial"/>
          <w:sz w:val="24"/>
          <w:szCs w:val="24"/>
          <w:lang w:val="es-ES" w:eastAsia="es-ES"/>
        </w:rPr>
        <w:t xml:space="preserve">Sala Superior </w:t>
      </w:r>
      <w:r w:rsidR="00493D0B">
        <w:rPr>
          <w:rFonts w:ascii="Arial" w:eastAsia="MS Mincho" w:hAnsi="Arial" w:cs="Arial"/>
          <w:sz w:val="24"/>
          <w:szCs w:val="24"/>
          <w:lang w:val="es-ES" w:eastAsia="es-ES"/>
        </w:rPr>
        <w:t>del Tribunal Electoral del Poder Judicial de la Federación con dirección en</w:t>
      </w:r>
      <w:r w:rsidRPr="00982A17">
        <w:rPr>
          <w:rFonts w:ascii="Arial" w:eastAsia="MS Mincho" w:hAnsi="Arial" w:cs="Arial"/>
          <w:sz w:val="24"/>
          <w:szCs w:val="24"/>
          <w:lang w:val="es-ES" w:eastAsia="es-ES"/>
        </w:rPr>
        <w:t xml:space="preserve"> Carlota Armero número 5000</w:t>
      </w:r>
      <w:r w:rsidR="00493D0B">
        <w:rPr>
          <w:rFonts w:ascii="Arial" w:eastAsia="MS Mincho" w:hAnsi="Arial" w:cs="Arial"/>
          <w:sz w:val="24"/>
          <w:szCs w:val="24"/>
          <w:lang w:val="es-ES" w:eastAsia="es-ES"/>
        </w:rPr>
        <w:t>,</w:t>
      </w:r>
      <w:r w:rsidRPr="00982A17">
        <w:rPr>
          <w:rFonts w:ascii="Arial" w:eastAsia="MS Mincho" w:hAnsi="Arial" w:cs="Arial"/>
          <w:sz w:val="24"/>
          <w:szCs w:val="24"/>
          <w:lang w:val="es-ES" w:eastAsia="es-ES"/>
        </w:rPr>
        <w:t xml:space="preserve"> colonia CTM Culhuacán VII, Alcaldía Coyoacán y en los eventos que se </w:t>
      </w:r>
      <w:r w:rsidR="00493D0B">
        <w:rPr>
          <w:rFonts w:ascii="Arial" w:eastAsia="MS Mincho" w:hAnsi="Arial" w:cs="Arial"/>
          <w:sz w:val="24"/>
          <w:szCs w:val="24"/>
          <w:lang w:val="es-ES" w:eastAsia="es-ES"/>
        </w:rPr>
        <w:t xml:space="preserve">así se </w:t>
      </w:r>
      <w:r w:rsidRPr="00982A17">
        <w:rPr>
          <w:rFonts w:ascii="Arial" w:eastAsia="MS Mincho" w:hAnsi="Arial" w:cs="Arial"/>
          <w:sz w:val="24"/>
          <w:szCs w:val="24"/>
          <w:lang w:val="es-ES" w:eastAsia="es-ES"/>
        </w:rPr>
        <w:t>solicite dentro de la Ciudad de México.</w:t>
      </w:r>
    </w:p>
    <w:p w14:paraId="2313C6DF" w14:textId="77777777" w:rsidR="00463DB1" w:rsidRDefault="00463DB1" w:rsidP="00846D2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es-ES"/>
        </w:rPr>
      </w:pPr>
    </w:p>
    <w:p w14:paraId="588C77D6" w14:textId="5DED4D20" w:rsidR="00846D2D" w:rsidRPr="00846D2D" w:rsidRDefault="00846D2D" w:rsidP="00846D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es-ES"/>
        </w:rPr>
      </w:pPr>
      <w:r w:rsidRPr="00846D2D">
        <w:rPr>
          <w:rFonts w:ascii="Arial" w:eastAsia="MS Mincho" w:hAnsi="Arial" w:cs="Arial"/>
          <w:b/>
          <w:bCs/>
          <w:sz w:val="24"/>
          <w:szCs w:val="24"/>
          <w:lang w:eastAsia="es-ES"/>
        </w:rPr>
        <w:t>Condiciones económicas</w:t>
      </w:r>
    </w:p>
    <w:p w14:paraId="09BA9BCD" w14:textId="77777777" w:rsidR="00AA0130" w:rsidRPr="001345E7" w:rsidRDefault="00AA0130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14:paraId="6DAFFD47" w14:textId="77777777" w:rsidR="00846D2D" w:rsidRPr="00846D2D" w:rsidRDefault="00846D2D" w:rsidP="00846D2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>El Tribunal efectuará el pago por los servicios en forma mensual con facturación a mes vencido dentro de los 15 días hábiles posteriores al término de cada mes mediante transferencia bancaria, previa presentación del recibo que cumpla con los requisitos fiscales y administrativos que se requieran. Las facturas que presente el prestador de servicios deberán reunir los requisitos fiscales de ley.</w:t>
      </w:r>
    </w:p>
    <w:p w14:paraId="35527DC5" w14:textId="448DC6CB" w:rsidR="00AA0130" w:rsidRDefault="00846D2D" w:rsidP="00B733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 xml:space="preserve">El costo se generará por hora y fracción por 15 minutos de interpretación, alternada con </w:t>
      </w:r>
      <w:r w:rsidR="00C170A3">
        <w:rPr>
          <w:rFonts w:ascii="Arial" w:eastAsia="MS Mincho" w:hAnsi="Arial" w:cs="Arial"/>
          <w:sz w:val="24"/>
          <w:szCs w:val="24"/>
          <w:lang w:val="es-ES" w:eastAsia="es-ES"/>
        </w:rPr>
        <w:t xml:space="preserve">por lo menos 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 xml:space="preserve">dos intérpretes </w:t>
      </w:r>
      <w:r w:rsidR="00C170A3">
        <w:rPr>
          <w:rFonts w:ascii="Arial" w:eastAsia="MS Mincho" w:hAnsi="Arial" w:cs="Arial"/>
          <w:sz w:val="24"/>
          <w:szCs w:val="24"/>
          <w:lang w:val="es-ES" w:eastAsia="es-ES"/>
        </w:rPr>
        <w:t xml:space="preserve">de LSM 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 xml:space="preserve">para </w:t>
      </w:r>
      <w:r w:rsidR="006F242C">
        <w:rPr>
          <w:rFonts w:ascii="Arial" w:eastAsia="MS Mincho" w:hAnsi="Arial" w:cs="Arial"/>
          <w:sz w:val="24"/>
          <w:szCs w:val="24"/>
          <w:lang w:val="es-ES" w:eastAsia="es-ES"/>
        </w:rPr>
        <w:t>compensar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 xml:space="preserve"> el desgaste que generan las sesiones públicas</w:t>
      </w:r>
      <w:r w:rsidR="002B3B02">
        <w:rPr>
          <w:rFonts w:ascii="Arial" w:eastAsia="MS Mincho" w:hAnsi="Arial" w:cs="Arial"/>
          <w:sz w:val="24"/>
          <w:szCs w:val="24"/>
          <w:lang w:val="es-ES" w:eastAsia="es-ES"/>
        </w:rPr>
        <w:t xml:space="preserve"> y eventos en cuanto a duración y grado de concentración</w:t>
      </w:r>
      <w:r w:rsidR="00480904">
        <w:rPr>
          <w:rFonts w:ascii="Arial" w:eastAsia="MS Mincho" w:hAnsi="Arial" w:cs="Arial"/>
          <w:sz w:val="24"/>
          <w:szCs w:val="24"/>
          <w:lang w:val="es-ES" w:eastAsia="es-ES"/>
        </w:rPr>
        <w:t>. Para tal efecto,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 xml:space="preserve"> se</w:t>
      </w:r>
      <w:r w:rsidR="00480904">
        <w:rPr>
          <w:rFonts w:ascii="Arial" w:eastAsia="MS Mincho" w:hAnsi="Arial" w:cs="Arial"/>
          <w:sz w:val="24"/>
          <w:szCs w:val="24"/>
          <w:lang w:val="es-ES" w:eastAsia="es-ES"/>
        </w:rPr>
        <w:t xml:space="preserve"> establecerá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 xml:space="preserve"> un contrato abierto estableciendo el monto máximo de $4</w:t>
      </w:r>
      <w:r w:rsidR="00400C3F">
        <w:rPr>
          <w:rFonts w:ascii="Arial" w:eastAsia="MS Mincho" w:hAnsi="Arial" w:cs="Arial"/>
          <w:sz w:val="24"/>
          <w:szCs w:val="24"/>
          <w:lang w:val="es-ES" w:eastAsia="es-ES"/>
        </w:rPr>
        <w:t>38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>,</w:t>
      </w:r>
      <w:r w:rsidR="007A431E">
        <w:rPr>
          <w:rFonts w:ascii="Arial" w:eastAsia="MS Mincho" w:hAnsi="Arial" w:cs="Arial"/>
          <w:sz w:val="24"/>
          <w:szCs w:val="24"/>
          <w:lang w:val="es-ES" w:eastAsia="es-ES"/>
        </w:rPr>
        <w:t>372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 xml:space="preserve">.00 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lastRenderedPageBreak/>
        <w:t xml:space="preserve">(Cuatrocientos </w:t>
      </w:r>
      <w:r w:rsidR="007A431E">
        <w:rPr>
          <w:rFonts w:ascii="Arial" w:eastAsia="MS Mincho" w:hAnsi="Arial" w:cs="Arial"/>
          <w:sz w:val="24"/>
          <w:szCs w:val="24"/>
          <w:lang w:val="es-ES" w:eastAsia="es-ES"/>
        </w:rPr>
        <w:t xml:space="preserve">treinta y ocho 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 xml:space="preserve">mil </w:t>
      </w:r>
      <w:r w:rsidR="007A431E">
        <w:rPr>
          <w:rFonts w:ascii="Arial" w:eastAsia="MS Mincho" w:hAnsi="Arial" w:cs="Arial"/>
          <w:sz w:val="24"/>
          <w:szCs w:val="24"/>
          <w:lang w:val="es-ES" w:eastAsia="es-ES"/>
        </w:rPr>
        <w:t xml:space="preserve">trescientos setenta y dos </w:t>
      </w:r>
      <w:r w:rsidRPr="00846D2D">
        <w:rPr>
          <w:rFonts w:ascii="Arial" w:eastAsia="MS Mincho" w:hAnsi="Arial" w:cs="Arial"/>
          <w:sz w:val="24"/>
          <w:szCs w:val="24"/>
          <w:lang w:val="es-ES" w:eastAsia="es-ES"/>
        </w:rPr>
        <w:t>pesos 00/100 M.N.) incluido el Impuesto al Valor Agregado.</w:t>
      </w:r>
    </w:p>
    <w:p w14:paraId="1872E185" w14:textId="77777777" w:rsidR="00AE0C0E" w:rsidRPr="001345E7" w:rsidRDefault="00AE0C0E" w:rsidP="00B7338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val="es-ES" w:eastAsia="es-ES"/>
        </w:rPr>
      </w:pPr>
    </w:p>
    <w:p w14:paraId="7F65B02C" w14:textId="30C06C19" w:rsidR="00AA0130" w:rsidRDefault="00572ECD" w:rsidP="00090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  <w:r w:rsidRPr="00786CA4">
        <w:rPr>
          <w:rFonts w:ascii="Arial" w:eastAsia="MS Mincho" w:hAnsi="Arial" w:cs="Arial"/>
          <w:b/>
          <w:sz w:val="24"/>
          <w:szCs w:val="24"/>
          <w:lang w:eastAsia="es-ES"/>
        </w:rPr>
        <w:t>Requisitos</w:t>
      </w:r>
      <w:r>
        <w:rPr>
          <w:rFonts w:ascii="Arial" w:eastAsia="MS Mincho" w:hAnsi="Arial" w:cs="Arial"/>
          <w:b/>
          <w:sz w:val="24"/>
          <w:szCs w:val="24"/>
          <w:lang w:eastAsia="es-ES"/>
        </w:rPr>
        <w:t xml:space="preserve"> </w:t>
      </w:r>
      <w:r w:rsidR="00EC1A05">
        <w:rPr>
          <w:rFonts w:ascii="Arial" w:eastAsia="MS Mincho" w:hAnsi="Arial" w:cs="Arial"/>
          <w:b/>
          <w:sz w:val="24"/>
          <w:szCs w:val="24"/>
          <w:lang w:eastAsia="es-ES"/>
        </w:rPr>
        <w:t>t</w:t>
      </w:r>
      <w:r w:rsidRPr="00786CA4">
        <w:rPr>
          <w:rFonts w:ascii="Arial" w:eastAsia="MS Mincho" w:hAnsi="Arial" w:cs="Arial"/>
          <w:b/>
          <w:sz w:val="24"/>
          <w:szCs w:val="24"/>
          <w:lang w:eastAsia="es-ES"/>
        </w:rPr>
        <w:t>écnicos</w:t>
      </w:r>
    </w:p>
    <w:p w14:paraId="7B2482CA" w14:textId="0B747AC3" w:rsidR="00AA0130" w:rsidRDefault="00AA0130" w:rsidP="00416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0E8467B7" w14:textId="05C9A338" w:rsidR="004107D7" w:rsidRDefault="0095526F" w:rsidP="00090E6F">
      <w:pPr>
        <w:pStyle w:val="Prrafodelista"/>
        <w:numPr>
          <w:ilvl w:val="0"/>
          <w:numId w:val="16"/>
        </w:numPr>
        <w:spacing w:line="276" w:lineRule="auto"/>
        <w:ind w:left="360" w:hanging="180"/>
        <w:jc w:val="both"/>
        <w:rPr>
          <w:rFonts w:ascii="Arial" w:hAnsi="Arial" w:cs="Tahoma"/>
          <w:sz w:val="24"/>
          <w:szCs w:val="24"/>
        </w:rPr>
      </w:pPr>
      <w:r w:rsidRPr="000A4871">
        <w:rPr>
          <w:rFonts w:ascii="Arial" w:hAnsi="Arial" w:cs="Tahoma"/>
          <w:sz w:val="24"/>
          <w:szCs w:val="24"/>
        </w:rPr>
        <w:t xml:space="preserve">Currículum Vitae que demuestre experiencia </w:t>
      </w:r>
      <w:r w:rsidR="00070CB3" w:rsidRPr="000A4871">
        <w:rPr>
          <w:rFonts w:ascii="Arial" w:hAnsi="Arial" w:cs="Tahoma"/>
          <w:sz w:val="24"/>
          <w:szCs w:val="24"/>
        </w:rPr>
        <w:t>en lenguaje jurídico, jurídico-electoral y político-electoral por parte de</w:t>
      </w:r>
      <w:r w:rsidR="003F1D0D" w:rsidRPr="000A4871">
        <w:rPr>
          <w:rFonts w:ascii="Arial" w:hAnsi="Arial" w:cs="Tahoma"/>
          <w:sz w:val="24"/>
          <w:szCs w:val="24"/>
        </w:rPr>
        <w:t xml:space="preserve"> la empresa u organización </w:t>
      </w:r>
      <w:r w:rsidR="004A6554" w:rsidRPr="000A4871">
        <w:rPr>
          <w:rFonts w:ascii="Arial" w:hAnsi="Arial" w:cs="Tahoma"/>
          <w:sz w:val="24"/>
          <w:szCs w:val="24"/>
        </w:rPr>
        <w:t xml:space="preserve">de cuando menos </w:t>
      </w:r>
      <w:r w:rsidR="00552CAB" w:rsidRPr="009011B2">
        <w:rPr>
          <w:rFonts w:ascii="Arial" w:hAnsi="Arial" w:cs="Tahoma"/>
          <w:sz w:val="24"/>
          <w:szCs w:val="24"/>
        </w:rPr>
        <w:t>3</w:t>
      </w:r>
      <w:r w:rsidRPr="000A4871">
        <w:rPr>
          <w:rFonts w:ascii="Arial" w:hAnsi="Arial" w:cs="Tahoma"/>
          <w:color w:val="FF0000"/>
          <w:sz w:val="24"/>
          <w:szCs w:val="24"/>
        </w:rPr>
        <w:t xml:space="preserve"> </w:t>
      </w:r>
      <w:r w:rsidRPr="000A4871">
        <w:rPr>
          <w:rFonts w:ascii="Arial" w:hAnsi="Arial" w:cs="Tahoma"/>
          <w:sz w:val="24"/>
          <w:szCs w:val="24"/>
        </w:rPr>
        <w:t>años</w:t>
      </w:r>
      <w:r w:rsidRPr="004107D7">
        <w:rPr>
          <w:rFonts w:ascii="Arial" w:hAnsi="Arial" w:cs="Tahoma"/>
          <w:sz w:val="24"/>
          <w:szCs w:val="24"/>
        </w:rPr>
        <w:t xml:space="preserve"> en el </w:t>
      </w:r>
      <w:r w:rsidR="003F1D0D" w:rsidRPr="004107D7">
        <w:rPr>
          <w:rFonts w:ascii="Arial" w:hAnsi="Arial" w:cs="Tahoma"/>
          <w:sz w:val="24"/>
          <w:szCs w:val="24"/>
        </w:rPr>
        <w:t>servicio de Interpretación en Lengua de Señas Mexicana (LSM),</w:t>
      </w:r>
      <w:r w:rsidRPr="004107D7">
        <w:rPr>
          <w:rFonts w:ascii="Arial" w:hAnsi="Arial" w:cs="Tahoma"/>
          <w:sz w:val="24"/>
          <w:szCs w:val="24"/>
        </w:rPr>
        <w:t xml:space="preserve"> con la utilidad de grabación, transmisión y difusión de eventos diversos organizados por el TEPJF. En este documento debe ser </w:t>
      </w:r>
      <w:r w:rsidR="00DF561C">
        <w:rPr>
          <w:rFonts w:ascii="Arial" w:hAnsi="Arial" w:cs="Tahoma"/>
          <w:sz w:val="24"/>
          <w:szCs w:val="24"/>
        </w:rPr>
        <w:t>expresado</w:t>
      </w:r>
      <w:r w:rsidRPr="004107D7">
        <w:rPr>
          <w:rFonts w:ascii="Arial" w:hAnsi="Arial" w:cs="Tahoma"/>
          <w:sz w:val="24"/>
          <w:szCs w:val="24"/>
        </w:rPr>
        <w:t xml:space="preserve"> también el nivel de experiencia del personal que colaborará con el servicio solicitado para el Tribunal Electoral.</w:t>
      </w:r>
    </w:p>
    <w:p w14:paraId="29927C12" w14:textId="4B6193F2" w:rsidR="003F1D0D" w:rsidRPr="004107D7" w:rsidRDefault="0095526F" w:rsidP="00090E6F">
      <w:pPr>
        <w:pStyle w:val="Prrafodelista"/>
        <w:spacing w:line="276" w:lineRule="auto"/>
        <w:ind w:left="360"/>
        <w:jc w:val="both"/>
        <w:rPr>
          <w:rFonts w:ascii="Arial" w:hAnsi="Arial" w:cs="Tahoma"/>
          <w:sz w:val="24"/>
          <w:szCs w:val="24"/>
        </w:rPr>
      </w:pPr>
      <w:r w:rsidRPr="004107D7">
        <w:rPr>
          <w:rFonts w:ascii="Arial" w:hAnsi="Arial" w:cs="Tahoma"/>
          <w:sz w:val="24"/>
          <w:szCs w:val="24"/>
        </w:rPr>
        <w:t xml:space="preserve">La experiencia de la empresa u organización se acreditará presentando copia de tres contratos, convenios y/o acuerdos de servicios realizados en los últimos </w:t>
      </w:r>
      <w:r w:rsidR="009011B2">
        <w:rPr>
          <w:rFonts w:ascii="Arial" w:hAnsi="Arial" w:cs="Tahoma"/>
          <w:sz w:val="24"/>
          <w:szCs w:val="24"/>
        </w:rPr>
        <w:t>3</w:t>
      </w:r>
      <w:r w:rsidRPr="00C51199">
        <w:rPr>
          <w:rFonts w:ascii="Arial" w:hAnsi="Arial" w:cs="Tahoma"/>
          <w:sz w:val="24"/>
          <w:szCs w:val="24"/>
        </w:rPr>
        <w:t xml:space="preserve"> </w:t>
      </w:r>
      <w:r w:rsidRPr="00526E46">
        <w:rPr>
          <w:rFonts w:ascii="Arial" w:hAnsi="Arial" w:cs="Tahoma"/>
          <w:sz w:val="24"/>
          <w:szCs w:val="24"/>
        </w:rPr>
        <w:t>años,</w:t>
      </w:r>
      <w:r w:rsidRPr="004107D7">
        <w:rPr>
          <w:rFonts w:ascii="Arial" w:hAnsi="Arial" w:cs="Tahoma"/>
          <w:sz w:val="24"/>
          <w:szCs w:val="24"/>
        </w:rPr>
        <w:t xml:space="preserve"> que indiquen el periodo durante el cual se prestaron dichos servicios. Asimismo, el CV deberá contener los datos de contacto de al menos una referencia por cada contrato presentado (</w:t>
      </w:r>
      <w:r w:rsidR="00070CB3" w:rsidRPr="000A4871">
        <w:rPr>
          <w:rFonts w:ascii="Arial" w:hAnsi="Arial" w:cs="Tahoma"/>
          <w:sz w:val="24"/>
          <w:szCs w:val="24"/>
        </w:rPr>
        <w:t>dependencia</w:t>
      </w:r>
      <w:r w:rsidRPr="000A4871">
        <w:rPr>
          <w:rFonts w:ascii="Arial" w:hAnsi="Arial" w:cs="Tahoma"/>
          <w:sz w:val="24"/>
          <w:szCs w:val="24"/>
        </w:rPr>
        <w:t>,</w:t>
      </w:r>
      <w:r w:rsidRPr="004107D7">
        <w:rPr>
          <w:rFonts w:ascii="Arial" w:hAnsi="Arial" w:cs="Tahoma"/>
          <w:sz w:val="24"/>
          <w:szCs w:val="24"/>
        </w:rPr>
        <w:t xml:space="preserve"> teléfono y correo electrónico) del cliente al que se le haya prestado el </w:t>
      </w:r>
      <w:r w:rsidR="00784411" w:rsidRPr="00156A43">
        <w:rPr>
          <w:rFonts w:ascii="Arial" w:eastAsia="MS Mincho" w:hAnsi="Arial" w:cs="Arial"/>
          <w:sz w:val="24"/>
          <w:szCs w:val="24"/>
          <w:lang w:val="es-ES" w:eastAsia="es-ES"/>
        </w:rPr>
        <w:t xml:space="preserve">servicio de Interpretación en Lengua de Señas Mexicana </w:t>
      </w:r>
      <w:r w:rsidR="00784411">
        <w:rPr>
          <w:rFonts w:ascii="Arial" w:eastAsia="MS Mincho" w:hAnsi="Arial" w:cs="Arial"/>
          <w:sz w:val="24"/>
          <w:szCs w:val="24"/>
          <w:lang w:val="es-ES" w:eastAsia="es-ES"/>
        </w:rPr>
        <w:t>(LSM)</w:t>
      </w:r>
      <w:r w:rsidRPr="004107D7">
        <w:rPr>
          <w:rFonts w:ascii="Arial" w:hAnsi="Arial" w:cs="Tahoma"/>
          <w:sz w:val="24"/>
          <w:szCs w:val="24"/>
        </w:rPr>
        <w:t>. La experiencia de los colaboradores es posible acreditarse mediante constancias y certificaciones emitidas por las instituciones facultadas para tal efecto.</w:t>
      </w:r>
    </w:p>
    <w:p w14:paraId="1CB7DE75" w14:textId="59D39007" w:rsidR="00C51B26" w:rsidRPr="00C51B26" w:rsidRDefault="00EB575E" w:rsidP="00090E6F">
      <w:pPr>
        <w:pStyle w:val="Prrafodelista"/>
        <w:numPr>
          <w:ilvl w:val="0"/>
          <w:numId w:val="16"/>
        </w:numPr>
        <w:spacing w:line="276" w:lineRule="auto"/>
        <w:ind w:left="360" w:hanging="180"/>
        <w:jc w:val="both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>D</w:t>
      </w:r>
      <w:r w:rsidR="00C51B26" w:rsidRPr="00C51B26">
        <w:rPr>
          <w:rFonts w:ascii="Arial" w:hAnsi="Arial" w:cs="Tahoma"/>
          <w:sz w:val="24"/>
          <w:szCs w:val="24"/>
        </w:rPr>
        <w:t>isponib</w:t>
      </w:r>
      <w:r>
        <w:rPr>
          <w:rFonts w:ascii="Arial" w:hAnsi="Arial" w:cs="Tahoma"/>
          <w:sz w:val="24"/>
          <w:szCs w:val="24"/>
        </w:rPr>
        <w:t>i</w:t>
      </w:r>
      <w:r w:rsidR="00C51B26" w:rsidRPr="00C51B26">
        <w:rPr>
          <w:rFonts w:ascii="Arial" w:hAnsi="Arial" w:cs="Tahoma"/>
          <w:sz w:val="24"/>
          <w:szCs w:val="24"/>
        </w:rPr>
        <w:t>l</w:t>
      </w:r>
      <w:r>
        <w:rPr>
          <w:rFonts w:ascii="Arial" w:hAnsi="Arial" w:cs="Tahoma"/>
          <w:sz w:val="24"/>
          <w:szCs w:val="24"/>
        </w:rPr>
        <w:t>idad</w:t>
      </w:r>
      <w:r w:rsidR="00C51B26" w:rsidRPr="00C51B26">
        <w:rPr>
          <w:rFonts w:ascii="Arial" w:hAnsi="Arial" w:cs="Tahoma"/>
          <w:sz w:val="24"/>
          <w:szCs w:val="24"/>
        </w:rPr>
        <w:t xml:space="preserve"> las 24 horas del día los 365 días del año</w:t>
      </w:r>
      <w:r>
        <w:rPr>
          <w:rFonts w:ascii="Arial" w:hAnsi="Arial" w:cs="Tahoma"/>
          <w:sz w:val="24"/>
          <w:szCs w:val="24"/>
        </w:rPr>
        <w:t xml:space="preserve"> para avisos de</w:t>
      </w:r>
      <w:r w:rsidRPr="00EB575E">
        <w:rPr>
          <w:rFonts w:ascii="Arial" w:hAnsi="Arial" w:cs="Tahoma"/>
          <w:sz w:val="24"/>
          <w:szCs w:val="24"/>
        </w:rPr>
        <w:t xml:space="preserve"> agenda de trabajo y/o los llamados a los eventos sujetos de cobertura</w:t>
      </w:r>
      <w:r w:rsidR="00C51B26" w:rsidRPr="00C51B26">
        <w:rPr>
          <w:rFonts w:ascii="Arial" w:hAnsi="Arial" w:cs="Tahoma"/>
          <w:sz w:val="24"/>
          <w:szCs w:val="24"/>
        </w:rPr>
        <w:t>.</w:t>
      </w:r>
    </w:p>
    <w:p w14:paraId="025F0E9F" w14:textId="1E02FBDE" w:rsidR="00C51B26" w:rsidRPr="000A4871" w:rsidRDefault="00C51B26" w:rsidP="00090E6F">
      <w:pPr>
        <w:pStyle w:val="Prrafodelista"/>
        <w:numPr>
          <w:ilvl w:val="0"/>
          <w:numId w:val="16"/>
        </w:numPr>
        <w:spacing w:line="276" w:lineRule="auto"/>
        <w:ind w:left="360" w:hanging="180"/>
        <w:jc w:val="both"/>
        <w:rPr>
          <w:rFonts w:ascii="Arial" w:hAnsi="Arial" w:cs="Tahoma"/>
          <w:sz w:val="24"/>
          <w:szCs w:val="24"/>
        </w:rPr>
      </w:pPr>
      <w:r w:rsidRPr="00C51B26">
        <w:rPr>
          <w:rFonts w:ascii="Arial" w:hAnsi="Arial" w:cs="Tahoma"/>
          <w:sz w:val="24"/>
          <w:szCs w:val="24"/>
        </w:rPr>
        <w:t>El prestador de servicios se deb</w:t>
      </w:r>
      <w:r w:rsidR="00A855FC">
        <w:rPr>
          <w:rFonts w:ascii="Arial" w:hAnsi="Arial" w:cs="Tahoma"/>
          <w:sz w:val="24"/>
          <w:szCs w:val="24"/>
        </w:rPr>
        <w:t>erá presentar cuando menos con 3</w:t>
      </w:r>
      <w:r w:rsidRPr="00C51B26">
        <w:rPr>
          <w:rFonts w:ascii="Arial" w:hAnsi="Arial" w:cs="Tahoma"/>
          <w:sz w:val="24"/>
          <w:szCs w:val="24"/>
        </w:rPr>
        <w:t xml:space="preserve">0 minutos de anticipación al lugar del evento </w:t>
      </w:r>
      <w:r w:rsidR="008038C9">
        <w:rPr>
          <w:rFonts w:ascii="Arial" w:hAnsi="Arial" w:cs="Tahoma"/>
          <w:sz w:val="24"/>
          <w:szCs w:val="24"/>
        </w:rPr>
        <w:t xml:space="preserve">programado </w:t>
      </w:r>
      <w:r w:rsidRPr="00C51B26">
        <w:rPr>
          <w:rFonts w:ascii="Arial" w:hAnsi="Arial" w:cs="Tahoma"/>
          <w:sz w:val="24"/>
          <w:szCs w:val="24"/>
        </w:rPr>
        <w:t>para su</w:t>
      </w:r>
      <w:r w:rsidR="00C04082">
        <w:rPr>
          <w:rFonts w:ascii="Arial" w:hAnsi="Arial" w:cs="Tahoma"/>
          <w:sz w:val="24"/>
          <w:szCs w:val="24"/>
        </w:rPr>
        <w:t xml:space="preserve"> instalación y pruebas de video.</w:t>
      </w:r>
      <w:r w:rsidRPr="00C51B26">
        <w:rPr>
          <w:rFonts w:ascii="Arial" w:hAnsi="Arial" w:cs="Tahoma"/>
          <w:sz w:val="24"/>
          <w:szCs w:val="24"/>
        </w:rPr>
        <w:t xml:space="preserve"> </w:t>
      </w:r>
      <w:r w:rsidR="00C04082">
        <w:rPr>
          <w:rFonts w:ascii="Arial" w:hAnsi="Arial" w:cs="Tahoma"/>
          <w:sz w:val="24"/>
          <w:szCs w:val="24"/>
        </w:rPr>
        <w:t>Cabe aclarar, que es</w:t>
      </w:r>
      <w:r w:rsidRPr="00C51B26">
        <w:rPr>
          <w:rFonts w:ascii="Arial" w:hAnsi="Arial" w:cs="Tahoma"/>
          <w:sz w:val="24"/>
          <w:szCs w:val="24"/>
        </w:rPr>
        <w:t xml:space="preserve">te tiempo </w:t>
      </w:r>
      <w:r w:rsidR="00C04082">
        <w:rPr>
          <w:rFonts w:ascii="Arial" w:hAnsi="Arial" w:cs="Tahoma"/>
          <w:sz w:val="24"/>
          <w:szCs w:val="24"/>
        </w:rPr>
        <w:t xml:space="preserve">previo </w:t>
      </w:r>
      <w:r w:rsidR="008038C9">
        <w:rPr>
          <w:rFonts w:ascii="Arial" w:hAnsi="Arial" w:cs="Tahoma"/>
          <w:sz w:val="24"/>
          <w:szCs w:val="24"/>
        </w:rPr>
        <w:t xml:space="preserve">de preparativos </w:t>
      </w:r>
      <w:r w:rsidRPr="00526E46">
        <w:rPr>
          <w:rFonts w:ascii="Arial" w:hAnsi="Arial" w:cs="Tahoma"/>
          <w:sz w:val="24"/>
          <w:szCs w:val="24"/>
        </w:rPr>
        <w:t>no se</w:t>
      </w:r>
      <w:r w:rsidR="00C04082" w:rsidRPr="00526E46">
        <w:rPr>
          <w:rFonts w:ascii="Arial" w:hAnsi="Arial" w:cs="Tahoma"/>
          <w:sz w:val="24"/>
          <w:szCs w:val="24"/>
        </w:rPr>
        <w:t>rá posible de contabilizar</w:t>
      </w:r>
      <w:r w:rsidRPr="00526E46">
        <w:rPr>
          <w:rFonts w:ascii="Arial" w:hAnsi="Arial" w:cs="Tahoma"/>
          <w:sz w:val="24"/>
          <w:szCs w:val="24"/>
        </w:rPr>
        <w:t xml:space="preserve"> para efectos de facturación.</w:t>
      </w:r>
      <w:r w:rsidR="0017780C">
        <w:rPr>
          <w:rFonts w:ascii="Arial" w:hAnsi="Arial" w:cs="Tahoma"/>
          <w:sz w:val="24"/>
          <w:szCs w:val="24"/>
        </w:rPr>
        <w:t xml:space="preserve"> </w:t>
      </w:r>
      <w:r w:rsidR="00C51199" w:rsidRPr="000A4871">
        <w:rPr>
          <w:rFonts w:ascii="Arial" w:hAnsi="Arial" w:cs="Tahoma"/>
          <w:sz w:val="24"/>
          <w:szCs w:val="24"/>
        </w:rPr>
        <w:t xml:space="preserve">Sin embargo, una vez que se hayan realizado las pruebas de video correspondientes dentro de los 30 minutos considerados para ello, y en el supuesto de que el evento no inicie en el horario previsto, </w:t>
      </w:r>
      <w:r w:rsidR="0017780C" w:rsidRPr="000A4871">
        <w:rPr>
          <w:rFonts w:ascii="Arial" w:hAnsi="Arial" w:cs="Tahoma"/>
          <w:sz w:val="24"/>
          <w:szCs w:val="24"/>
        </w:rPr>
        <w:t xml:space="preserve">el tiempo de espera </w:t>
      </w:r>
      <w:r w:rsidR="00C51199" w:rsidRPr="000A4871">
        <w:rPr>
          <w:rFonts w:ascii="Arial" w:hAnsi="Arial" w:cs="Tahoma"/>
          <w:sz w:val="24"/>
          <w:szCs w:val="24"/>
        </w:rPr>
        <w:t xml:space="preserve">se considerará a la mitad de tiempo para su pago o facturación. </w:t>
      </w:r>
    </w:p>
    <w:p w14:paraId="5C8ABA65" w14:textId="6A7CA5C6" w:rsidR="00857D2A" w:rsidRPr="00C51B26" w:rsidRDefault="00857D2A" w:rsidP="00090E6F">
      <w:pPr>
        <w:pStyle w:val="Prrafodelista"/>
        <w:numPr>
          <w:ilvl w:val="0"/>
          <w:numId w:val="16"/>
        </w:numPr>
        <w:spacing w:line="276" w:lineRule="auto"/>
        <w:ind w:left="360" w:hanging="180"/>
        <w:jc w:val="both"/>
        <w:rPr>
          <w:rFonts w:ascii="Arial" w:hAnsi="Arial" w:cs="Tahoma"/>
          <w:sz w:val="24"/>
          <w:szCs w:val="24"/>
        </w:rPr>
      </w:pPr>
      <w:r>
        <w:rPr>
          <w:rFonts w:ascii="Arial" w:hAnsi="Arial" w:cs="Tahoma"/>
          <w:sz w:val="24"/>
          <w:szCs w:val="24"/>
        </w:rPr>
        <w:t xml:space="preserve">Es indispensable, a efecto de </w:t>
      </w:r>
      <w:r w:rsidRPr="00857D2A">
        <w:rPr>
          <w:rFonts w:ascii="Arial" w:hAnsi="Arial" w:cs="Tahoma"/>
          <w:sz w:val="24"/>
          <w:szCs w:val="24"/>
        </w:rPr>
        <w:t xml:space="preserve">cumplir </w:t>
      </w:r>
      <w:r>
        <w:rPr>
          <w:rFonts w:ascii="Arial" w:hAnsi="Arial" w:cs="Tahoma"/>
          <w:sz w:val="24"/>
          <w:szCs w:val="24"/>
        </w:rPr>
        <w:t xml:space="preserve">cabalmente </w:t>
      </w:r>
      <w:r w:rsidRPr="00857D2A">
        <w:rPr>
          <w:rFonts w:ascii="Arial" w:hAnsi="Arial" w:cs="Tahoma"/>
          <w:sz w:val="24"/>
          <w:szCs w:val="24"/>
        </w:rPr>
        <w:t xml:space="preserve">con la adecuada </w:t>
      </w:r>
      <w:r>
        <w:rPr>
          <w:rFonts w:ascii="Arial" w:hAnsi="Arial" w:cs="Tahoma"/>
          <w:sz w:val="24"/>
          <w:szCs w:val="24"/>
        </w:rPr>
        <w:t xml:space="preserve">cobertura, grabación y </w:t>
      </w:r>
      <w:r w:rsidRPr="00857D2A">
        <w:rPr>
          <w:rFonts w:ascii="Arial" w:hAnsi="Arial" w:cs="Tahoma"/>
          <w:sz w:val="24"/>
          <w:szCs w:val="24"/>
        </w:rPr>
        <w:t>transmisión de las sesiones públicas</w:t>
      </w:r>
      <w:r>
        <w:rPr>
          <w:rFonts w:ascii="Arial" w:hAnsi="Arial" w:cs="Tahoma"/>
          <w:sz w:val="24"/>
          <w:szCs w:val="24"/>
        </w:rPr>
        <w:t xml:space="preserve"> y eventos relevantes del TEPJF</w:t>
      </w:r>
      <w:r w:rsidRPr="00857D2A">
        <w:rPr>
          <w:rFonts w:ascii="Arial" w:hAnsi="Arial" w:cs="Tahoma"/>
          <w:sz w:val="24"/>
          <w:szCs w:val="24"/>
        </w:rPr>
        <w:t xml:space="preserve">, </w:t>
      </w:r>
      <w:r w:rsidR="00271297">
        <w:rPr>
          <w:rFonts w:ascii="Arial" w:hAnsi="Arial" w:cs="Tahoma"/>
          <w:sz w:val="24"/>
          <w:szCs w:val="24"/>
        </w:rPr>
        <w:t xml:space="preserve">la </w:t>
      </w:r>
      <w:r w:rsidR="00C762F1">
        <w:rPr>
          <w:rFonts w:ascii="Arial" w:hAnsi="Arial" w:cs="Tahoma"/>
          <w:sz w:val="24"/>
          <w:szCs w:val="24"/>
        </w:rPr>
        <w:t xml:space="preserve">convocatoria por evento </w:t>
      </w:r>
      <w:r w:rsidRPr="00857D2A">
        <w:rPr>
          <w:rFonts w:ascii="Arial" w:hAnsi="Arial" w:cs="Tahoma"/>
          <w:sz w:val="24"/>
          <w:szCs w:val="24"/>
        </w:rPr>
        <w:t xml:space="preserve">de </w:t>
      </w:r>
      <w:r w:rsidR="00C762F1">
        <w:rPr>
          <w:rFonts w:ascii="Arial" w:hAnsi="Arial" w:cs="Tahoma"/>
          <w:sz w:val="24"/>
          <w:szCs w:val="24"/>
        </w:rPr>
        <w:t xml:space="preserve">cuando menos </w:t>
      </w:r>
      <w:r w:rsidR="003F4ACB">
        <w:rPr>
          <w:rFonts w:ascii="Arial" w:hAnsi="Arial" w:cs="Tahoma"/>
          <w:sz w:val="24"/>
          <w:szCs w:val="24"/>
        </w:rPr>
        <w:t>dos intérpretes en L</w:t>
      </w:r>
      <w:r w:rsidRPr="00857D2A">
        <w:rPr>
          <w:rFonts w:ascii="Arial" w:hAnsi="Arial" w:cs="Tahoma"/>
          <w:sz w:val="24"/>
          <w:szCs w:val="24"/>
        </w:rPr>
        <w:t>engua</w:t>
      </w:r>
      <w:r w:rsidR="003F4ACB">
        <w:rPr>
          <w:rFonts w:ascii="Arial" w:hAnsi="Arial" w:cs="Tahoma"/>
          <w:sz w:val="24"/>
          <w:szCs w:val="24"/>
        </w:rPr>
        <w:t xml:space="preserve"> de S</w:t>
      </w:r>
      <w:r w:rsidR="00C762F1">
        <w:rPr>
          <w:rFonts w:ascii="Arial" w:hAnsi="Arial" w:cs="Tahoma"/>
          <w:sz w:val="24"/>
          <w:szCs w:val="24"/>
        </w:rPr>
        <w:t xml:space="preserve">eñas </w:t>
      </w:r>
      <w:r w:rsidR="003F4ACB">
        <w:rPr>
          <w:rFonts w:ascii="Arial" w:hAnsi="Arial" w:cs="Tahoma"/>
          <w:sz w:val="24"/>
          <w:szCs w:val="24"/>
        </w:rPr>
        <w:t>M</w:t>
      </w:r>
      <w:r w:rsidR="00C762F1">
        <w:rPr>
          <w:rFonts w:ascii="Arial" w:hAnsi="Arial" w:cs="Tahoma"/>
          <w:sz w:val="24"/>
          <w:szCs w:val="24"/>
        </w:rPr>
        <w:t>exicana</w:t>
      </w:r>
      <w:r w:rsidRPr="00857D2A">
        <w:rPr>
          <w:rFonts w:ascii="Arial" w:hAnsi="Arial" w:cs="Tahoma"/>
          <w:sz w:val="24"/>
          <w:szCs w:val="24"/>
        </w:rPr>
        <w:t xml:space="preserve"> </w:t>
      </w:r>
      <w:r w:rsidR="001B456C">
        <w:rPr>
          <w:rFonts w:ascii="Arial" w:hAnsi="Arial" w:cs="Tahoma"/>
          <w:sz w:val="24"/>
          <w:szCs w:val="24"/>
        </w:rPr>
        <w:t xml:space="preserve">(LSM) </w:t>
      </w:r>
      <w:r w:rsidRPr="00857D2A">
        <w:rPr>
          <w:rFonts w:ascii="Arial" w:hAnsi="Arial" w:cs="Tahoma"/>
          <w:sz w:val="24"/>
          <w:szCs w:val="24"/>
        </w:rPr>
        <w:t>para cubrir en su totalidad</w:t>
      </w:r>
      <w:r w:rsidR="003F4ACB">
        <w:rPr>
          <w:rFonts w:ascii="Arial" w:hAnsi="Arial" w:cs="Tahoma"/>
          <w:sz w:val="24"/>
          <w:szCs w:val="24"/>
        </w:rPr>
        <w:t xml:space="preserve"> cada evento </w:t>
      </w:r>
      <w:r w:rsidR="001B456C">
        <w:rPr>
          <w:rFonts w:ascii="Arial" w:hAnsi="Arial" w:cs="Tahoma"/>
          <w:sz w:val="24"/>
          <w:szCs w:val="24"/>
        </w:rPr>
        <w:t>en mención</w:t>
      </w:r>
      <w:r w:rsidRPr="00857D2A">
        <w:rPr>
          <w:rFonts w:ascii="Arial" w:hAnsi="Arial" w:cs="Tahoma"/>
          <w:sz w:val="24"/>
          <w:szCs w:val="24"/>
        </w:rPr>
        <w:t>, debido a</w:t>
      </w:r>
      <w:r w:rsidR="003F4ACB">
        <w:rPr>
          <w:rFonts w:ascii="Arial" w:hAnsi="Arial" w:cs="Tahoma"/>
          <w:sz w:val="24"/>
          <w:szCs w:val="24"/>
        </w:rPr>
        <w:t>l desgaste generado toda vez</w:t>
      </w:r>
      <w:r w:rsidRPr="00857D2A">
        <w:rPr>
          <w:rFonts w:ascii="Arial" w:hAnsi="Arial" w:cs="Tahoma"/>
          <w:sz w:val="24"/>
          <w:szCs w:val="24"/>
        </w:rPr>
        <w:t xml:space="preserve"> que dicha actividad requiere de una concentración y esfuerzo mental</w:t>
      </w:r>
      <w:r w:rsidR="002679ED">
        <w:rPr>
          <w:rFonts w:ascii="Arial" w:hAnsi="Arial" w:cs="Tahoma"/>
          <w:sz w:val="24"/>
          <w:szCs w:val="24"/>
        </w:rPr>
        <w:t xml:space="preserve"> considerable</w:t>
      </w:r>
      <w:r w:rsidR="00B11CA9">
        <w:rPr>
          <w:rFonts w:ascii="Arial" w:hAnsi="Arial" w:cs="Tahoma"/>
          <w:sz w:val="24"/>
          <w:szCs w:val="24"/>
        </w:rPr>
        <w:t>. En tal aspecto, es pretendido</w:t>
      </w:r>
      <w:r w:rsidRPr="00857D2A">
        <w:rPr>
          <w:rFonts w:ascii="Arial" w:hAnsi="Arial" w:cs="Tahoma"/>
          <w:sz w:val="24"/>
          <w:szCs w:val="24"/>
        </w:rPr>
        <w:t xml:space="preserve"> que la interpretación deberá realizarse alternadamente en </w:t>
      </w:r>
      <w:r w:rsidR="00B11CA9">
        <w:rPr>
          <w:rFonts w:ascii="Arial" w:hAnsi="Arial" w:cs="Tahoma"/>
          <w:sz w:val="24"/>
          <w:szCs w:val="24"/>
        </w:rPr>
        <w:t>periodos</w:t>
      </w:r>
      <w:r w:rsidRPr="00857D2A">
        <w:rPr>
          <w:rFonts w:ascii="Arial" w:hAnsi="Arial" w:cs="Tahoma"/>
          <w:sz w:val="24"/>
          <w:szCs w:val="24"/>
        </w:rPr>
        <w:t xml:space="preserve"> de 20 minutos, </w:t>
      </w:r>
      <w:r w:rsidR="00B11CA9">
        <w:rPr>
          <w:rFonts w:ascii="Arial" w:hAnsi="Arial" w:cs="Tahoma"/>
          <w:sz w:val="24"/>
          <w:szCs w:val="24"/>
        </w:rPr>
        <w:t xml:space="preserve">siendo igualmente necesario para obtener una correcta </w:t>
      </w:r>
      <w:r w:rsidR="00B11CA9">
        <w:rPr>
          <w:rFonts w:ascii="Arial" w:hAnsi="Arial" w:cs="Tahoma"/>
          <w:sz w:val="24"/>
          <w:szCs w:val="24"/>
        </w:rPr>
        <w:lastRenderedPageBreak/>
        <w:t>organización y logística,</w:t>
      </w:r>
      <w:r w:rsidRPr="00857D2A">
        <w:rPr>
          <w:rFonts w:ascii="Arial" w:hAnsi="Arial" w:cs="Tahoma"/>
          <w:sz w:val="24"/>
          <w:szCs w:val="24"/>
        </w:rPr>
        <w:t xml:space="preserve"> contar con un correcto trabajo en equipo a fin de que los relevos o cambios se realicen oportunamente</w:t>
      </w:r>
      <w:r w:rsidR="00B30643">
        <w:rPr>
          <w:rFonts w:ascii="Arial" w:hAnsi="Arial" w:cs="Tahoma"/>
          <w:sz w:val="24"/>
          <w:szCs w:val="24"/>
        </w:rPr>
        <w:t>.</w:t>
      </w:r>
    </w:p>
    <w:p w14:paraId="2A2C6D05" w14:textId="5FDF0992" w:rsidR="008F7D0F" w:rsidRPr="005C201D" w:rsidRDefault="003C7884" w:rsidP="00863A0A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360" w:hanging="180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863A0A">
        <w:rPr>
          <w:rFonts w:ascii="Arial" w:hAnsi="Arial" w:cs="Tahoma"/>
          <w:sz w:val="24"/>
          <w:szCs w:val="24"/>
        </w:rPr>
        <w:t>La empresa u organización</w:t>
      </w:r>
      <w:r w:rsidR="00C51B26" w:rsidRPr="00863A0A">
        <w:rPr>
          <w:rFonts w:ascii="Arial" w:hAnsi="Arial" w:cs="Tahoma"/>
          <w:sz w:val="24"/>
          <w:szCs w:val="24"/>
        </w:rPr>
        <w:t xml:space="preserve"> participante deberá presentar su propuesta considerando el costo por hora y fracción por 15 minutos, es decir, se pagará la primera hora completa y posteriormente se pagará el servicio en fracciones de 15 minutos, a fin de garantizar que el pago sea lo más exacto posible</w:t>
      </w:r>
      <w:r w:rsidR="006533C7" w:rsidRPr="00863A0A">
        <w:rPr>
          <w:rFonts w:ascii="Arial" w:hAnsi="Arial" w:cs="Tahoma"/>
          <w:sz w:val="24"/>
          <w:szCs w:val="24"/>
        </w:rPr>
        <w:t xml:space="preserve"> en relación al tiempo de interpretación</w:t>
      </w:r>
      <w:r w:rsidR="00C51B26" w:rsidRPr="00863A0A">
        <w:rPr>
          <w:rFonts w:ascii="Arial" w:hAnsi="Arial" w:cs="Tahoma"/>
          <w:sz w:val="24"/>
          <w:szCs w:val="24"/>
        </w:rPr>
        <w:t>.</w:t>
      </w:r>
    </w:p>
    <w:p w14:paraId="2CCC2453" w14:textId="77777777" w:rsidR="005C201D" w:rsidRPr="005C201D" w:rsidRDefault="005C201D" w:rsidP="005C20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2E0753B9" w14:textId="1B8F8FF7" w:rsidR="00AA0130" w:rsidRPr="001345E7" w:rsidRDefault="00EC1A05" w:rsidP="00090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  <w:r>
        <w:rPr>
          <w:rFonts w:ascii="Arial" w:eastAsia="MS Mincho" w:hAnsi="Arial" w:cs="Arial"/>
          <w:b/>
          <w:sz w:val="24"/>
          <w:szCs w:val="24"/>
          <w:lang w:eastAsia="es-ES"/>
        </w:rPr>
        <w:t>Consideraciones generales</w:t>
      </w:r>
    </w:p>
    <w:p w14:paraId="6A23AFEE" w14:textId="77777777" w:rsidR="00AA0130" w:rsidRPr="001345E7" w:rsidRDefault="00AA0130" w:rsidP="00416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125C468E" w14:textId="127A1E93" w:rsidR="00EC1A05" w:rsidRPr="00EC1A05" w:rsidRDefault="00EC1A05" w:rsidP="00090E6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 w:hanging="270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EC1A05">
        <w:rPr>
          <w:rFonts w:ascii="Arial" w:eastAsia="MS Mincho" w:hAnsi="Arial" w:cs="Arial"/>
          <w:sz w:val="24"/>
          <w:szCs w:val="24"/>
          <w:lang w:eastAsia="es-ES"/>
        </w:rPr>
        <w:t xml:space="preserve">El proveedor </w:t>
      </w:r>
      <w:r>
        <w:rPr>
          <w:rFonts w:ascii="Arial" w:eastAsia="MS Mincho" w:hAnsi="Arial" w:cs="Arial"/>
          <w:sz w:val="24"/>
          <w:szCs w:val="24"/>
          <w:lang w:eastAsia="es-ES"/>
        </w:rPr>
        <w:t xml:space="preserve">adjudicado </w:t>
      </w:r>
      <w:r w:rsidRPr="00EC1A05">
        <w:rPr>
          <w:rFonts w:ascii="Arial" w:eastAsia="MS Mincho" w:hAnsi="Arial" w:cs="Arial"/>
          <w:sz w:val="24"/>
          <w:szCs w:val="24"/>
          <w:lang w:eastAsia="es-ES"/>
        </w:rPr>
        <w:t xml:space="preserve">será convocado con 24 horas de anticipación a la fecha en que se requiera el </w:t>
      </w:r>
      <w:r w:rsidR="00463884">
        <w:rPr>
          <w:rFonts w:ascii="Arial" w:eastAsia="MS Mincho" w:hAnsi="Arial" w:cs="Arial"/>
          <w:sz w:val="24"/>
          <w:szCs w:val="24"/>
          <w:lang w:eastAsia="es-ES"/>
        </w:rPr>
        <w:t xml:space="preserve">servicio </w:t>
      </w:r>
      <w:r w:rsidR="00910C41">
        <w:rPr>
          <w:rFonts w:ascii="Arial" w:eastAsia="MS Mincho" w:hAnsi="Arial" w:cs="Arial"/>
          <w:sz w:val="24"/>
          <w:szCs w:val="24"/>
          <w:lang w:eastAsia="es-ES"/>
        </w:rPr>
        <w:t xml:space="preserve">de </w:t>
      </w:r>
      <w:bookmarkStart w:id="0" w:name="_GoBack"/>
      <w:bookmarkEnd w:id="0"/>
      <w:r w:rsidRPr="00EC1A05">
        <w:rPr>
          <w:rFonts w:ascii="Arial" w:eastAsia="MS Mincho" w:hAnsi="Arial" w:cs="Arial"/>
          <w:sz w:val="24"/>
          <w:szCs w:val="24"/>
          <w:lang w:eastAsia="es-ES"/>
        </w:rPr>
        <w:t>Interpretación en Lengua de Señas Mexicana (LSM).</w:t>
      </w:r>
    </w:p>
    <w:p w14:paraId="790B793E" w14:textId="48508510" w:rsidR="00EC1A05" w:rsidRPr="00EC1A05" w:rsidRDefault="00EC1A05" w:rsidP="00090E6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 w:hanging="270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EC1A05">
        <w:rPr>
          <w:rFonts w:ascii="Arial" w:eastAsia="MS Mincho" w:hAnsi="Arial" w:cs="Arial"/>
          <w:sz w:val="24"/>
          <w:szCs w:val="24"/>
          <w:lang w:eastAsia="es-ES"/>
        </w:rPr>
        <w:t>Para eventos fuera del edificio sede</w:t>
      </w:r>
      <w:r>
        <w:rPr>
          <w:rFonts w:ascii="Arial" w:eastAsia="MS Mincho" w:hAnsi="Arial" w:cs="Arial"/>
          <w:sz w:val="24"/>
          <w:szCs w:val="24"/>
          <w:lang w:eastAsia="es-ES"/>
        </w:rPr>
        <w:t xml:space="preserve"> de la </w:t>
      </w:r>
      <w:r w:rsidRPr="00982A17">
        <w:rPr>
          <w:rFonts w:ascii="Arial" w:eastAsia="MS Mincho" w:hAnsi="Arial" w:cs="Arial"/>
          <w:sz w:val="24"/>
          <w:szCs w:val="24"/>
          <w:lang w:val="es-ES" w:eastAsia="es-ES"/>
        </w:rPr>
        <w:t xml:space="preserve">Sala Superior </w:t>
      </w:r>
      <w:r>
        <w:rPr>
          <w:rFonts w:ascii="Arial" w:eastAsia="MS Mincho" w:hAnsi="Arial" w:cs="Arial"/>
          <w:sz w:val="24"/>
          <w:szCs w:val="24"/>
          <w:lang w:val="es-ES" w:eastAsia="es-ES"/>
        </w:rPr>
        <w:t>del Tribunal Electoral del Poder Judicial de la Federación</w:t>
      </w:r>
      <w:r w:rsidRPr="00EC1A05">
        <w:rPr>
          <w:rFonts w:ascii="Arial" w:eastAsia="MS Mincho" w:hAnsi="Arial" w:cs="Arial"/>
          <w:sz w:val="24"/>
          <w:szCs w:val="24"/>
          <w:lang w:eastAsia="es-ES"/>
        </w:rPr>
        <w:t xml:space="preserve">, se dará aviso mediante correo electrónico, hasta con 24 horas de anticipación como mínimo y deberán presentarse en la sede indicada a la hora determinada para </w:t>
      </w:r>
      <w:r w:rsidR="00E552B5">
        <w:rPr>
          <w:rFonts w:ascii="Arial" w:eastAsia="MS Mincho" w:hAnsi="Arial" w:cs="Arial"/>
          <w:sz w:val="24"/>
          <w:szCs w:val="24"/>
          <w:lang w:eastAsia="es-ES"/>
        </w:rPr>
        <w:t>prestar sus servicios</w:t>
      </w:r>
      <w:r w:rsidR="00090E6F">
        <w:rPr>
          <w:rFonts w:ascii="Arial" w:eastAsia="MS Mincho" w:hAnsi="Arial" w:cs="Arial"/>
          <w:sz w:val="24"/>
          <w:szCs w:val="24"/>
          <w:lang w:eastAsia="es-ES"/>
        </w:rPr>
        <w:t>.</w:t>
      </w:r>
    </w:p>
    <w:p w14:paraId="1CF8C844" w14:textId="77777777" w:rsidR="00953D96" w:rsidRDefault="00953D96" w:rsidP="004169D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</w:p>
    <w:p w14:paraId="75D9F345" w14:textId="42E4BCA3" w:rsidR="00AA0130" w:rsidRPr="001345E7" w:rsidRDefault="00AA0130" w:rsidP="005132C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  <w:r w:rsidRPr="001345E7">
        <w:rPr>
          <w:rFonts w:ascii="Arial" w:eastAsia="MS Mincho" w:hAnsi="Arial" w:cs="Arial"/>
          <w:b/>
          <w:sz w:val="24"/>
          <w:szCs w:val="24"/>
          <w:lang w:eastAsia="es-ES"/>
        </w:rPr>
        <w:t>Garantía</w:t>
      </w:r>
      <w:r w:rsidR="00CD076D">
        <w:rPr>
          <w:rFonts w:ascii="Arial" w:eastAsia="MS Mincho" w:hAnsi="Arial" w:cs="Arial"/>
          <w:b/>
          <w:sz w:val="24"/>
          <w:szCs w:val="24"/>
          <w:lang w:eastAsia="es-ES"/>
        </w:rPr>
        <w:t xml:space="preserve"> de servicios</w:t>
      </w:r>
    </w:p>
    <w:p w14:paraId="455683BE" w14:textId="77777777" w:rsidR="00AA0130" w:rsidRPr="001345E7" w:rsidRDefault="00AA0130" w:rsidP="004169D0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</w:p>
    <w:p w14:paraId="48EFD8B2" w14:textId="2262AB35" w:rsidR="00DF4FA0" w:rsidRPr="000A4871" w:rsidRDefault="00AA0130" w:rsidP="00DF4FA0">
      <w:pPr>
        <w:pStyle w:val="Prrafodelista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eastAsia="MS Mincho" w:hAnsi="Arial" w:cs="Arial"/>
          <w:b/>
          <w:bCs/>
          <w:sz w:val="24"/>
          <w:szCs w:val="24"/>
          <w:lang w:eastAsia="es-ES"/>
        </w:rPr>
      </w:pPr>
      <w:r w:rsidRPr="000A4871">
        <w:rPr>
          <w:rFonts w:ascii="Arial" w:eastAsia="MS Mincho" w:hAnsi="Arial" w:cs="Arial"/>
          <w:sz w:val="24"/>
          <w:szCs w:val="24"/>
          <w:lang w:eastAsia="es-ES"/>
        </w:rPr>
        <w:t xml:space="preserve">El proveedor </w:t>
      </w:r>
      <w:r w:rsidR="00156413" w:rsidRPr="000A4871">
        <w:rPr>
          <w:rFonts w:ascii="Arial" w:eastAsia="MS Mincho" w:hAnsi="Arial" w:cs="Arial"/>
          <w:sz w:val="24"/>
          <w:szCs w:val="24"/>
          <w:lang w:eastAsia="es-ES"/>
        </w:rPr>
        <w:t xml:space="preserve">adjudicado </w:t>
      </w:r>
      <w:r w:rsidRPr="000A4871">
        <w:rPr>
          <w:rFonts w:ascii="Arial" w:eastAsia="MS Mincho" w:hAnsi="Arial" w:cs="Arial"/>
          <w:sz w:val="24"/>
          <w:szCs w:val="24"/>
          <w:lang w:eastAsia="es-ES"/>
        </w:rPr>
        <w:t>deberá dar atención y</w:t>
      </w:r>
      <w:r w:rsidR="00D55B73" w:rsidRPr="000A4871">
        <w:rPr>
          <w:rFonts w:ascii="Arial" w:eastAsia="MS Mincho" w:hAnsi="Arial" w:cs="Arial"/>
          <w:sz w:val="24"/>
          <w:szCs w:val="24"/>
          <w:lang w:eastAsia="es-ES"/>
        </w:rPr>
        <w:t xml:space="preserve"> seguimiento </w:t>
      </w:r>
      <w:r w:rsidR="00CD076D" w:rsidRPr="000A4871">
        <w:rPr>
          <w:rFonts w:ascii="Arial" w:eastAsia="MS Mincho" w:hAnsi="Arial" w:cs="Arial"/>
          <w:sz w:val="24"/>
          <w:szCs w:val="24"/>
          <w:lang w:eastAsia="es-ES"/>
        </w:rPr>
        <w:t xml:space="preserve">de los servicios de Interpretación en Lengua de Señas Mexicana (LSM), </w:t>
      </w:r>
      <w:r w:rsidR="00DF4FA0" w:rsidRPr="000A4871">
        <w:rPr>
          <w:rFonts w:ascii="Arial" w:eastAsia="MS Mincho" w:hAnsi="Arial" w:cs="Arial"/>
          <w:sz w:val="24"/>
          <w:szCs w:val="24"/>
          <w:lang w:eastAsia="es-ES"/>
        </w:rPr>
        <w:t xml:space="preserve">así como cumplir con los horarios establecidos </w:t>
      </w:r>
      <w:r w:rsidR="00CD076D" w:rsidRPr="000A4871">
        <w:rPr>
          <w:rFonts w:ascii="Arial" w:eastAsia="MS Mincho" w:hAnsi="Arial" w:cs="Arial"/>
          <w:sz w:val="24"/>
          <w:szCs w:val="24"/>
          <w:lang w:eastAsia="es-ES"/>
        </w:rPr>
        <w:t>derivados de</w:t>
      </w:r>
      <w:r w:rsidR="00D55B73" w:rsidRPr="000A4871">
        <w:rPr>
          <w:rFonts w:ascii="Arial" w:eastAsia="MS Mincho" w:hAnsi="Arial" w:cs="Arial"/>
          <w:sz w:val="24"/>
          <w:szCs w:val="24"/>
          <w:lang w:eastAsia="es-ES"/>
        </w:rPr>
        <w:t xml:space="preserve"> lo</w:t>
      </w:r>
      <w:r w:rsidRPr="000A4871">
        <w:rPr>
          <w:rFonts w:ascii="Arial" w:eastAsia="MS Mincho" w:hAnsi="Arial" w:cs="Arial"/>
          <w:sz w:val="24"/>
          <w:szCs w:val="24"/>
          <w:lang w:eastAsia="es-ES"/>
        </w:rPr>
        <w:t xml:space="preserve">s </w:t>
      </w:r>
      <w:r w:rsidR="00D55B73" w:rsidRPr="000A4871">
        <w:rPr>
          <w:rFonts w:ascii="Arial" w:hAnsi="Arial" w:cs="Tahoma"/>
          <w:sz w:val="24"/>
          <w:szCs w:val="24"/>
        </w:rPr>
        <w:t>avisos de agenda de trabajo y/o los llamados a los eventos sujetos de cobertura</w:t>
      </w:r>
      <w:bookmarkStart w:id="1" w:name="_Toc429730393"/>
      <w:r w:rsidR="00DF4FA0" w:rsidRPr="000A4871">
        <w:rPr>
          <w:rFonts w:ascii="Arial" w:hAnsi="Arial" w:cs="Tahoma"/>
          <w:sz w:val="24"/>
          <w:szCs w:val="24"/>
        </w:rPr>
        <w:t>, en consideración de los, cuando menos, 30 minutos de anticipación con los que deberá presentarse, con el objeto de su instalación y pruebas de video.</w:t>
      </w:r>
    </w:p>
    <w:p w14:paraId="36ED414F" w14:textId="1F1E81E2" w:rsidR="00FF4F24" w:rsidRDefault="00541D66" w:rsidP="005132C0">
      <w:pPr>
        <w:pStyle w:val="Prrafodelista"/>
        <w:spacing w:after="0" w:line="276" w:lineRule="auto"/>
        <w:ind w:left="426"/>
        <w:jc w:val="both"/>
        <w:rPr>
          <w:rFonts w:ascii="Arial" w:hAnsi="Arial" w:cs="Tahoma"/>
          <w:sz w:val="24"/>
          <w:szCs w:val="24"/>
        </w:rPr>
      </w:pPr>
      <w:r w:rsidRPr="000A4871">
        <w:rPr>
          <w:rFonts w:ascii="Arial" w:hAnsi="Arial" w:cs="Tahoma"/>
          <w:sz w:val="24"/>
          <w:szCs w:val="24"/>
        </w:rPr>
        <w:t>Para tal efecto, será necesaria la entrega de una carta</w:t>
      </w:r>
      <w:r w:rsidR="00480EF0" w:rsidRPr="000A4871">
        <w:rPr>
          <w:rFonts w:ascii="Arial" w:hAnsi="Arial" w:cs="Tahoma"/>
          <w:sz w:val="24"/>
          <w:szCs w:val="24"/>
        </w:rPr>
        <w:t xml:space="preserve"> firmada por el representante legal en la que manifieste que, en caso de resultar adjudicado, se compromete a cumplir con las convocatorias</w:t>
      </w:r>
      <w:r w:rsidR="00DF4FA0" w:rsidRPr="000A4871">
        <w:rPr>
          <w:rFonts w:ascii="Arial" w:hAnsi="Arial" w:cs="Tahoma"/>
          <w:sz w:val="24"/>
          <w:szCs w:val="24"/>
        </w:rPr>
        <w:t>, así como con los horarios establecidos por las convocatorias</w:t>
      </w:r>
      <w:r w:rsidR="00480EF0" w:rsidRPr="000A4871">
        <w:rPr>
          <w:rFonts w:ascii="Arial" w:hAnsi="Arial" w:cs="Tahoma"/>
          <w:sz w:val="24"/>
          <w:szCs w:val="24"/>
        </w:rPr>
        <w:t xml:space="preserve"> </w:t>
      </w:r>
      <w:r w:rsidR="00D80F81" w:rsidRPr="000A4871">
        <w:rPr>
          <w:rFonts w:ascii="Arial" w:hAnsi="Arial" w:cs="Tahoma"/>
          <w:sz w:val="24"/>
          <w:szCs w:val="24"/>
        </w:rPr>
        <w:t>derivadas de los avisos de agenda de trabajo y/o los llamados a los eventos sujetos de cobertura</w:t>
      </w:r>
      <w:r w:rsidR="00FF4F24" w:rsidRPr="000A4871">
        <w:rPr>
          <w:rFonts w:ascii="Arial" w:hAnsi="Arial" w:cs="Tahoma"/>
          <w:sz w:val="24"/>
          <w:szCs w:val="24"/>
        </w:rPr>
        <w:t>.</w:t>
      </w:r>
      <w:r w:rsidR="00D346A8" w:rsidRPr="000A4871">
        <w:rPr>
          <w:rFonts w:ascii="Arial" w:hAnsi="Arial" w:cs="Tahoma"/>
          <w:sz w:val="24"/>
          <w:szCs w:val="24"/>
        </w:rPr>
        <w:t xml:space="preserve"> En el caso de incumplir con este compromiso y responsabilidad, </w:t>
      </w:r>
      <w:r w:rsidR="00D878E3" w:rsidRPr="000A4871">
        <w:rPr>
          <w:rFonts w:ascii="Arial" w:hAnsi="Arial" w:cs="Tahoma"/>
          <w:sz w:val="24"/>
          <w:szCs w:val="24"/>
        </w:rPr>
        <w:t>el Tribunal Electoral podrá aplicar sanciones por descuentos económicos o hasta la recesión de la relación contractual.</w:t>
      </w:r>
    </w:p>
    <w:p w14:paraId="2810E6A4" w14:textId="77777777" w:rsidR="00411087" w:rsidRDefault="00411087" w:rsidP="004169D0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es-ES"/>
        </w:rPr>
      </w:pPr>
    </w:p>
    <w:p w14:paraId="23CA1572" w14:textId="77777777" w:rsidR="00AA0130" w:rsidRPr="001345E7" w:rsidRDefault="00AA0130" w:rsidP="00273E5B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es-ES"/>
        </w:rPr>
      </w:pPr>
      <w:r w:rsidRPr="001345E7">
        <w:rPr>
          <w:rFonts w:ascii="Arial" w:eastAsia="MS Mincho" w:hAnsi="Arial" w:cs="Arial"/>
          <w:b/>
          <w:bCs/>
          <w:sz w:val="24"/>
          <w:szCs w:val="24"/>
          <w:lang w:eastAsia="es-ES"/>
        </w:rPr>
        <w:t>Entregables</w:t>
      </w:r>
      <w:bookmarkEnd w:id="1"/>
    </w:p>
    <w:p w14:paraId="1AA56E50" w14:textId="77777777" w:rsidR="00AA0130" w:rsidRPr="001345E7" w:rsidRDefault="00AA0130" w:rsidP="004169D0">
      <w:pPr>
        <w:spacing w:after="0" w:line="24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es-ES"/>
        </w:rPr>
      </w:pPr>
    </w:p>
    <w:p w14:paraId="282046A1" w14:textId="41A8DA55" w:rsidR="00E52CA3" w:rsidRPr="001345E7" w:rsidRDefault="00D80F81" w:rsidP="00273E5B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>
        <w:rPr>
          <w:rFonts w:ascii="Arial" w:hAnsi="Arial" w:cs="Tahoma"/>
          <w:sz w:val="24"/>
          <w:szCs w:val="24"/>
        </w:rPr>
        <w:t>La empresa u organización</w:t>
      </w:r>
      <w:r w:rsidRPr="00C51B26">
        <w:rPr>
          <w:rFonts w:ascii="Arial" w:hAnsi="Arial" w:cs="Tahoma"/>
          <w:sz w:val="24"/>
          <w:szCs w:val="24"/>
        </w:rPr>
        <w:t xml:space="preserve"> </w:t>
      </w:r>
      <w:r>
        <w:rPr>
          <w:rFonts w:ascii="Arial" w:hAnsi="Arial" w:cs="Tahoma"/>
          <w:sz w:val="24"/>
          <w:szCs w:val="24"/>
        </w:rPr>
        <w:t xml:space="preserve">que resulte adjudicada </w:t>
      </w:r>
      <w:r w:rsidR="00210BCA">
        <w:rPr>
          <w:rFonts w:ascii="Arial" w:eastAsia="MS Mincho" w:hAnsi="Arial" w:cs="Arial"/>
          <w:sz w:val="24"/>
          <w:szCs w:val="24"/>
          <w:lang w:eastAsia="es-ES"/>
        </w:rPr>
        <w:t xml:space="preserve">deberá </w:t>
      </w:r>
      <w:r w:rsidR="00AA0130" w:rsidRPr="001345E7">
        <w:rPr>
          <w:rFonts w:ascii="Arial" w:eastAsia="MS Mincho" w:hAnsi="Arial" w:cs="Arial"/>
          <w:sz w:val="24"/>
          <w:szCs w:val="24"/>
          <w:lang w:eastAsia="es-ES"/>
        </w:rPr>
        <w:t>presentar a la Dirección General de Comunicación Social, para su registro, revisión, validación y autorización, lo siguiente:</w:t>
      </w:r>
    </w:p>
    <w:p w14:paraId="5A672683" w14:textId="44FBD98B" w:rsidR="00E229AC" w:rsidRDefault="00FF4B6C" w:rsidP="00273E5B">
      <w:pPr>
        <w:pStyle w:val="Prrafodelista"/>
        <w:numPr>
          <w:ilvl w:val="0"/>
          <w:numId w:val="18"/>
        </w:numPr>
        <w:spacing w:after="0" w:line="276" w:lineRule="auto"/>
        <w:ind w:left="450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852F3F">
        <w:rPr>
          <w:rFonts w:ascii="Arial" w:eastAsia="MS Mincho" w:hAnsi="Arial" w:cs="Arial"/>
          <w:sz w:val="24"/>
          <w:szCs w:val="24"/>
          <w:lang w:eastAsia="es-ES"/>
        </w:rPr>
        <w:lastRenderedPageBreak/>
        <w:t xml:space="preserve">Directorio de contacto </w:t>
      </w:r>
      <w:r w:rsidR="00C27ED9" w:rsidRPr="00852F3F">
        <w:rPr>
          <w:rFonts w:ascii="Arial" w:eastAsia="MS Mincho" w:hAnsi="Arial" w:cs="Arial"/>
          <w:sz w:val="24"/>
          <w:szCs w:val="24"/>
          <w:lang w:eastAsia="es-ES"/>
        </w:rPr>
        <w:t xml:space="preserve">que debe incluir </w:t>
      </w:r>
      <w:r w:rsidR="00AA0130" w:rsidRPr="00852F3F">
        <w:rPr>
          <w:rFonts w:ascii="Arial" w:eastAsia="MS Mincho" w:hAnsi="Arial" w:cs="Arial"/>
          <w:sz w:val="24"/>
          <w:szCs w:val="24"/>
          <w:lang w:eastAsia="es-ES"/>
        </w:rPr>
        <w:t>los nombres</w:t>
      </w:r>
      <w:r w:rsidRPr="00852F3F">
        <w:rPr>
          <w:rFonts w:ascii="Arial" w:eastAsia="MS Mincho" w:hAnsi="Arial" w:cs="Arial"/>
          <w:sz w:val="24"/>
          <w:szCs w:val="24"/>
          <w:lang w:eastAsia="es-ES"/>
        </w:rPr>
        <w:t>,</w:t>
      </w:r>
      <w:r w:rsidR="00AA0130" w:rsidRPr="00852F3F">
        <w:rPr>
          <w:rFonts w:ascii="Arial" w:eastAsia="MS Mincho" w:hAnsi="Arial" w:cs="Arial"/>
          <w:sz w:val="24"/>
          <w:szCs w:val="24"/>
          <w:lang w:eastAsia="es-ES"/>
        </w:rPr>
        <w:t xml:space="preserve"> números telefónicos </w:t>
      </w:r>
      <w:r w:rsidRPr="00852F3F">
        <w:rPr>
          <w:rFonts w:ascii="Arial" w:eastAsia="MS Mincho" w:hAnsi="Arial" w:cs="Arial"/>
          <w:sz w:val="24"/>
          <w:szCs w:val="24"/>
          <w:lang w:eastAsia="es-ES"/>
        </w:rPr>
        <w:t xml:space="preserve">y correos electrónicos </w:t>
      </w:r>
      <w:r w:rsidR="00AA0130" w:rsidRPr="00852F3F">
        <w:rPr>
          <w:rFonts w:ascii="Arial" w:eastAsia="MS Mincho" w:hAnsi="Arial" w:cs="Arial"/>
          <w:sz w:val="24"/>
          <w:szCs w:val="24"/>
          <w:lang w:eastAsia="es-ES"/>
        </w:rPr>
        <w:t>del centro de atención</w:t>
      </w:r>
      <w:r w:rsidR="004565FE" w:rsidRPr="00852F3F">
        <w:rPr>
          <w:rFonts w:ascii="Arial" w:eastAsia="MS Mincho" w:hAnsi="Arial" w:cs="Arial"/>
          <w:sz w:val="24"/>
          <w:szCs w:val="24"/>
          <w:lang w:eastAsia="es-ES"/>
        </w:rPr>
        <w:t>, personal administrativo</w:t>
      </w:r>
      <w:r w:rsidR="00AA0130" w:rsidRPr="00852F3F">
        <w:rPr>
          <w:rFonts w:ascii="Arial" w:eastAsia="MS Mincho" w:hAnsi="Arial" w:cs="Arial"/>
          <w:sz w:val="24"/>
          <w:szCs w:val="24"/>
          <w:lang w:eastAsia="es-ES"/>
        </w:rPr>
        <w:t xml:space="preserve"> o </w:t>
      </w:r>
      <w:r w:rsidR="004565FE" w:rsidRPr="00852F3F">
        <w:rPr>
          <w:rFonts w:ascii="Arial" w:eastAsia="MS Mincho" w:hAnsi="Arial" w:cs="Arial"/>
          <w:sz w:val="24"/>
          <w:szCs w:val="24"/>
          <w:lang w:eastAsia="es-ES"/>
        </w:rPr>
        <w:t>colaboradores</w:t>
      </w:r>
      <w:r w:rsidR="00C27ED9" w:rsidRPr="00852F3F">
        <w:rPr>
          <w:rFonts w:ascii="Arial" w:eastAsia="MS Mincho" w:hAnsi="Arial" w:cs="Arial"/>
          <w:sz w:val="24"/>
          <w:szCs w:val="24"/>
          <w:lang w:eastAsia="es-ES"/>
        </w:rPr>
        <w:t xml:space="preserve"> responsable</w:t>
      </w:r>
      <w:r w:rsidR="004565FE" w:rsidRPr="00852F3F">
        <w:rPr>
          <w:rFonts w:ascii="Arial" w:eastAsia="MS Mincho" w:hAnsi="Arial" w:cs="Arial"/>
          <w:sz w:val="24"/>
          <w:szCs w:val="24"/>
          <w:lang w:eastAsia="es-ES"/>
        </w:rPr>
        <w:t>s</w:t>
      </w:r>
      <w:r w:rsidR="00C27ED9" w:rsidRPr="00852F3F">
        <w:rPr>
          <w:rFonts w:ascii="Arial" w:eastAsia="MS Mincho" w:hAnsi="Arial" w:cs="Arial"/>
          <w:sz w:val="24"/>
          <w:szCs w:val="24"/>
          <w:lang w:eastAsia="es-ES"/>
        </w:rPr>
        <w:t xml:space="preserve"> para programar </w:t>
      </w:r>
      <w:r w:rsidR="004565FE" w:rsidRPr="00852F3F">
        <w:rPr>
          <w:rFonts w:ascii="Arial" w:eastAsia="MS Mincho" w:hAnsi="Arial" w:cs="Arial"/>
          <w:sz w:val="24"/>
          <w:szCs w:val="24"/>
          <w:lang w:eastAsia="es-ES"/>
        </w:rPr>
        <w:t>la agenda de</w:t>
      </w:r>
      <w:r w:rsidR="00C27ED9" w:rsidRPr="00852F3F">
        <w:rPr>
          <w:rFonts w:ascii="Arial" w:eastAsia="MS Mincho" w:hAnsi="Arial" w:cs="Arial"/>
          <w:sz w:val="24"/>
          <w:szCs w:val="24"/>
          <w:lang w:eastAsia="es-ES"/>
        </w:rPr>
        <w:t xml:space="preserve"> trabajo</w:t>
      </w:r>
      <w:r w:rsidR="004565FE" w:rsidRPr="00852F3F">
        <w:rPr>
          <w:rFonts w:ascii="Arial" w:eastAsia="MS Mincho" w:hAnsi="Arial" w:cs="Arial"/>
          <w:sz w:val="24"/>
          <w:szCs w:val="24"/>
          <w:lang w:eastAsia="es-ES"/>
        </w:rPr>
        <w:t xml:space="preserve"> y/o los llamados a los eventos sujetos de cobertura</w:t>
      </w:r>
      <w:r w:rsidR="00C27ED9" w:rsidRPr="00852F3F">
        <w:rPr>
          <w:rFonts w:ascii="Arial" w:eastAsia="MS Mincho" w:hAnsi="Arial" w:cs="Arial"/>
          <w:sz w:val="24"/>
          <w:szCs w:val="24"/>
          <w:lang w:eastAsia="es-ES"/>
        </w:rPr>
        <w:t>.</w:t>
      </w:r>
    </w:p>
    <w:p w14:paraId="29522DDD" w14:textId="11C4552A" w:rsidR="008354DB" w:rsidRDefault="00B738FB" w:rsidP="00273E5B">
      <w:pPr>
        <w:pStyle w:val="Prrafodelista"/>
        <w:numPr>
          <w:ilvl w:val="0"/>
          <w:numId w:val="18"/>
        </w:numPr>
        <w:spacing w:after="0" w:line="276" w:lineRule="auto"/>
        <w:ind w:left="450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>
        <w:rPr>
          <w:rFonts w:ascii="Arial" w:eastAsia="MS Mincho" w:hAnsi="Arial" w:cs="Arial"/>
          <w:sz w:val="24"/>
          <w:szCs w:val="24"/>
          <w:lang w:eastAsia="es-ES"/>
        </w:rPr>
        <w:t>P</w:t>
      </w:r>
      <w:r w:rsidR="008354DB" w:rsidRPr="00EC1A05">
        <w:rPr>
          <w:rFonts w:ascii="Arial" w:eastAsia="MS Mincho" w:hAnsi="Arial" w:cs="Arial"/>
          <w:sz w:val="24"/>
          <w:szCs w:val="24"/>
          <w:lang w:eastAsia="es-ES"/>
        </w:rPr>
        <w:t xml:space="preserve">lantilla de personal </w:t>
      </w:r>
      <w:r w:rsidR="00CE038A">
        <w:rPr>
          <w:rFonts w:ascii="Arial" w:eastAsia="MS Mincho" w:hAnsi="Arial" w:cs="Arial"/>
          <w:sz w:val="24"/>
          <w:szCs w:val="24"/>
          <w:lang w:eastAsia="es-ES"/>
        </w:rPr>
        <w:t>previsto de asistencia o sujeto de programación para</w:t>
      </w:r>
      <w:r w:rsidR="00434A9D">
        <w:rPr>
          <w:rFonts w:ascii="Arial" w:eastAsia="MS Mincho" w:hAnsi="Arial" w:cs="Arial"/>
          <w:sz w:val="24"/>
          <w:szCs w:val="24"/>
          <w:lang w:eastAsia="es-ES"/>
        </w:rPr>
        <w:t xml:space="preserve"> cumplir </w:t>
      </w:r>
      <w:r w:rsidR="008354DB" w:rsidRPr="00EC1A05">
        <w:rPr>
          <w:rFonts w:ascii="Arial" w:eastAsia="MS Mincho" w:hAnsi="Arial" w:cs="Arial"/>
          <w:sz w:val="24"/>
          <w:szCs w:val="24"/>
          <w:lang w:eastAsia="es-ES"/>
        </w:rPr>
        <w:t xml:space="preserve">con </w:t>
      </w:r>
      <w:r w:rsidR="00434A9D">
        <w:rPr>
          <w:rFonts w:ascii="Arial" w:eastAsia="MS Mincho" w:hAnsi="Arial" w:cs="Arial"/>
          <w:sz w:val="24"/>
          <w:szCs w:val="24"/>
          <w:lang w:eastAsia="es-ES"/>
        </w:rPr>
        <w:t>los compromisos de trabajo</w:t>
      </w:r>
      <w:r w:rsidR="00434A9D" w:rsidRPr="00434A9D">
        <w:rPr>
          <w:rFonts w:ascii="Arial" w:eastAsia="MS Mincho" w:hAnsi="Arial" w:cs="Arial"/>
          <w:sz w:val="24"/>
          <w:szCs w:val="24"/>
          <w:lang w:eastAsia="es-ES"/>
        </w:rPr>
        <w:t xml:space="preserve"> </w:t>
      </w:r>
      <w:r w:rsidR="00434A9D">
        <w:rPr>
          <w:rFonts w:ascii="Arial" w:eastAsia="MS Mincho" w:hAnsi="Arial" w:cs="Arial"/>
          <w:sz w:val="24"/>
          <w:szCs w:val="24"/>
          <w:lang w:eastAsia="es-ES"/>
        </w:rPr>
        <w:t>derivados de lo</w:t>
      </w:r>
      <w:r w:rsidR="00434A9D" w:rsidRPr="00411087">
        <w:rPr>
          <w:rFonts w:ascii="Arial" w:eastAsia="MS Mincho" w:hAnsi="Arial" w:cs="Arial"/>
          <w:sz w:val="24"/>
          <w:szCs w:val="24"/>
          <w:lang w:eastAsia="es-ES"/>
        </w:rPr>
        <w:t xml:space="preserve">s </w:t>
      </w:r>
      <w:r w:rsidR="00434A9D">
        <w:rPr>
          <w:rFonts w:ascii="Arial" w:hAnsi="Arial" w:cs="Tahoma"/>
          <w:sz w:val="24"/>
          <w:szCs w:val="24"/>
        </w:rPr>
        <w:t>avisos de</w:t>
      </w:r>
      <w:r w:rsidR="00434A9D" w:rsidRPr="00EB575E">
        <w:rPr>
          <w:rFonts w:ascii="Arial" w:hAnsi="Arial" w:cs="Tahoma"/>
          <w:sz w:val="24"/>
          <w:szCs w:val="24"/>
        </w:rPr>
        <w:t xml:space="preserve"> agenda de trabajo y/o los llamados a los eventos sujetos de cobertura</w:t>
      </w:r>
      <w:r w:rsidR="00CE038A">
        <w:rPr>
          <w:rFonts w:ascii="Arial" w:hAnsi="Arial" w:cs="Tahoma"/>
          <w:sz w:val="24"/>
          <w:szCs w:val="24"/>
        </w:rPr>
        <w:t>. Este documento deberá</w:t>
      </w:r>
      <w:r w:rsidR="00434A9D">
        <w:rPr>
          <w:rFonts w:ascii="Arial" w:hAnsi="Arial" w:cs="Tahoma"/>
          <w:sz w:val="24"/>
          <w:szCs w:val="24"/>
        </w:rPr>
        <w:t xml:space="preserve"> detall</w:t>
      </w:r>
      <w:r w:rsidR="00CE038A">
        <w:rPr>
          <w:rFonts w:ascii="Arial" w:hAnsi="Arial" w:cs="Tahoma"/>
          <w:sz w:val="24"/>
          <w:szCs w:val="24"/>
        </w:rPr>
        <w:t xml:space="preserve">ar </w:t>
      </w:r>
      <w:r w:rsidR="00291CE2">
        <w:rPr>
          <w:rFonts w:ascii="Arial" w:hAnsi="Arial" w:cs="Tahoma"/>
          <w:sz w:val="24"/>
          <w:szCs w:val="24"/>
        </w:rPr>
        <w:t>el</w:t>
      </w:r>
      <w:r w:rsidR="008354DB" w:rsidRPr="00EC1A05">
        <w:rPr>
          <w:rFonts w:ascii="Arial" w:eastAsia="MS Mincho" w:hAnsi="Arial" w:cs="Arial"/>
          <w:sz w:val="24"/>
          <w:szCs w:val="24"/>
          <w:lang w:eastAsia="es-ES"/>
        </w:rPr>
        <w:t xml:space="preserve"> cargo y responsabilidades</w:t>
      </w:r>
      <w:r w:rsidR="00CE038A">
        <w:rPr>
          <w:rFonts w:ascii="Arial" w:eastAsia="MS Mincho" w:hAnsi="Arial" w:cs="Arial"/>
          <w:sz w:val="24"/>
          <w:szCs w:val="24"/>
          <w:lang w:eastAsia="es-ES"/>
        </w:rPr>
        <w:t xml:space="preserve"> de cada colaborador descrito anterio</w:t>
      </w:r>
      <w:r w:rsidR="00366B62">
        <w:rPr>
          <w:rFonts w:ascii="Arial" w:eastAsia="MS Mincho" w:hAnsi="Arial" w:cs="Arial"/>
          <w:sz w:val="24"/>
          <w:szCs w:val="24"/>
          <w:lang w:eastAsia="es-ES"/>
        </w:rPr>
        <w:t>r</w:t>
      </w:r>
      <w:r w:rsidR="00CE038A">
        <w:rPr>
          <w:rFonts w:ascii="Arial" w:eastAsia="MS Mincho" w:hAnsi="Arial" w:cs="Arial"/>
          <w:sz w:val="24"/>
          <w:szCs w:val="24"/>
          <w:lang w:eastAsia="es-ES"/>
        </w:rPr>
        <w:t>mente</w:t>
      </w:r>
      <w:r w:rsidR="00291CE2">
        <w:rPr>
          <w:rFonts w:ascii="Arial" w:eastAsia="MS Mincho" w:hAnsi="Arial" w:cs="Arial"/>
          <w:sz w:val="24"/>
          <w:szCs w:val="24"/>
          <w:lang w:eastAsia="es-ES"/>
        </w:rPr>
        <w:t xml:space="preserve">, </w:t>
      </w:r>
      <w:r w:rsidR="00E43609">
        <w:rPr>
          <w:rFonts w:ascii="Arial" w:eastAsia="MS Mincho" w:hAnsi="Arial" w:cs="Arial"/>
          <w:sz w:val="24"/>
          <w:szCs w:val="24"/>
          <w:lang w:eastAsia="es-ES"/>
        </w:rPr>
        <w:t>esto,</w:t>
      </w:r>
      <w:r w:rsidR="00291CE2">
        <w:rPr>
          <w:rFonts w:ascii="Arial" w:eastAsia="MS Mincho" w:hAnsi="Arial" w:cs="Arial"/>
          <w:sz w:val="24"/>
          <w:szCs w:val="24"/>
          <w:lang w:eastAsia="es-ES"/>
        </w:rPr>
        <w:t xml:space="preserve"> a fin de </w:t>
      </w:r>
      <w:r w:rsidR="008354DB" w:rsidRPr="00EC1A05">
        <w:rPr>
          <w:rFonts w:ascii="Arial" w:eastAsia="MS Mincho" w:hAnsi="Arial" w:cs="Arial"/>
          <w:sz w:val="24"/>
          <w:szCs w:val="24"/>
          <w:lang w:eastAsia="es-ES"/>
        </w:rPr>
        <w:t xml:space="preserve">acreditarse </w:t>
      </w:r>
      <w:r w:rsidR="00291CE2">
        <w:rPr>
          <w:rFonts w:ascii="Arial" w:eastAsia="MS Mincho" w:hAnsi="Arial" w:cs="Arial"/>
          <w:sz w:val="24"/>
          <w:szCs w:val="24"/>
          <w:lang w:eastAsia="es-ES"/>
        </w:rPr>
        <w:t xml:space="preserve">los accesos al interior de la </w:t>
      </w:r>
      <w:r w:rsidR="008354DB" w:rsidRPr="00EC1A05">
        <w:rPr>
          <w:rFonts w:ascii="Arial" w:eastAsia="MS Mincho" w:hAnsi="Arial" w:cs="Arial"/>
          <w:sz w:val="24"/>
          <w:szCs w:val="24"/>
          <w:lang w:eastAsia="es-ES"/>
        </w:rPr>
        <w:t>Sala Superior</w:t>
      </w:r>
      <w:r w:rsidR="00291CE2">
        <w:rPr>
          <w:rFonts w:ascii="Arial" w:eastAsia="MS Mincho" w:hAnsi="Arial" w:cs="Arial"/>
          <w:sz w:val="24"/>
          <w:szCs w:val="24"/>
          <w:lang w:eastAsia="es-ES"/>
        </w:rPr>
        <w:t xml:space="preserve"> del TEPJF y demás posibles sedes de los eventos de la anualidad en cuestión</w:t>
      </w:r>
      <w:r w:rsidR="008354DB" w:rsidRPr="00EC1A05">
        <w:rPr>
          <w:rFonts w:ascii="Arial" w:eastAsia="MS Mincho" w:hAnsi="Arial" w:cs="Arial"/>
          <w:sz w:val="24"/>
          <w:szCs w:val="24"/>
          <w:lang w:eastAsia="es-ES"/>
        </w:rPr>
        <w:t>.</w:t>
      </w:r>
    </w:p>
    <w:p w14:paraId="1EE7E249" w14:textId="77777777" w:rsidR="00FB6E2A" w:rsidRPr="00852F3F" w:rsidRDefault="00FB6E2A" w:rsidP="00E43609">
      <w:pPr>
        <w:pStyle w:val="Prrafodelista"/>
        <w:spacing w:after="0" w:line="240" w:lineRule="auto"/>
        <w:ind w:left="450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55AB48DC" w14:textId="77777777" w:rsidR="00EB575E" w:rsidRDefault="00EB575E" w:rsidP="00E52C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CCB444" w14:textId="77777777" w:rsidR="00273E5B" w:rsidRDefault="00273E5B" w:rsidP="00E52C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59BD69" w14:textId="77777777" w:rsidR="00366B62" w:rsidRDefault="00366B62" w:rsidP="00E52C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B2EB14" w14:textId="480382A4" w:rsidR="00AA0130" w:rsidRDefault="00AA0130" w:rsidP="00E52C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2CA3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49B7A312" w14:textId="24F7CD0C" w:rsidR="00E52CA3" w:rsidRDefault="00E52CA3" w:rsidP="00E52C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82013A" w14:textId="0375ECEF" w:rsidR="00E52CA3" w:rsidRDefault="00E52CA3" w:rsidP="00E52C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0F3EA6" w14:textId="09E35E7E" w:rsidR="00E52CA3" w:rsidRDefault="00E52CA3" w:rsidP="00E52C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ACC8BC" w14:textId="77777777" w:rsidR="00E52CA3" w:rsidRPr="00E52CA3" w:rsidRDefault="00E52CA3" w:rsidP="00E52C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F122AD" w14:textId="77777777" w:rsidR="00AA0130" w:rsidRPr="00E52CA3" w:rsidRDefault="00AA0130" w:rsidP="00E52C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2CA3">
        <w:rPr>
          <w:rFonts w:ascii="Arial" w:hAnsi="Arial" w:cs="Arial"/>
          <w:b/>
          <w:bCs/>
          <w:sz w:val="24"/>
          <w:szCs w:val="24"/>
        </w:rPr>
        <w:t>Lic. Federico Mora Arciniega</w:t>
      </w:r>
    </w:p>
    <w:p w14:paraId="71CC1A77" w14:textId="77777777" w:rsidR="00AA0130" w:rsidRPr="00E52CA3" w:rsidRDefault="00AA0130" w:rsidP="00E52C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2CA3">
        <w:rPr>
          <w:rFonts w:ascii="Arial" w:hAnsi="Arial" w:cs="Arial"/>
          <w:sz w:val="24"/>
          <w:szCs w:val="24"/>
        </w:rPr>
        <w:t>Director de Producción y Difusión</w:t>
      </w:r>
    </w:p>
    <w:p w14:paraId="66181C81" w14:textId="017F1E4D" w:rsidR="00A77F1F" w:rsidRDefault="00AA0130" w:rsidP="00953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2CA3">
        <w:rPr>
          <w:rFonts w:ascii="Arial" w:hAnsi="Arial" w:cs="Arial"/>
          <w:sz w:val="24"/>
          <w:szCs w:val="24"/>
        </w:rPr>
        <w:t>Dirección General de Comunicación Social</w:t>
      </w:r>
    </w:p>
    <w:sectPr w:rsidR="00A77F1F" w:rsidSect="00240C4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134" w:bottom="479" w:left="1418" w:header="1134" w:footer="10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A7462" w14:textId="77777777" w:rsidR="00F720C1" w:rsidRDefault="00F720C1">
      <w:pPr>
        <w:spacing w:after="0" w:line="240" w:lineRule="auto"/>
      </w:pPr>
      <w:r>
        <w:separator/>
      </w:r>
    </w:p>
  </w:endnote>
  <w:endnote w:type="continuationSeparator" w:id="0">
    <w:p w14:paraId="19DEEFA7" w14:textId="77777777" w:rsidR="00F720C1" w:rsidRDefault="00F7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2367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6B61EE" w14:textId="77777777" w:rsidR="00AE0C0E" w:rsidRDefault="00AE0C0E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E52CA3">
          <w:rPr>
            <w:rFonts w:ascii="Arial" w:hAnsi="Arial" w:cs="Arial"/>
            <w:sz w:val="20"/>
            <w:szCs w:val="20"/>
          </w:rPr>
          <w:fldChar w:fldCharType="begin"/>
        </w:r>
        <w:r w:rsidRPr="00E52CA3">
          <w:rPr>
            <w:rFonts w:ascii="Arial" w:hAnsi="Arial" w:cs="Arial"/>
            <w:sz w:val="20"/>
            <w:szCs w:val="20"/>
          </w:rPr>
          <w:instrText>PAGE   \* MERGEFORMAT</w:instrText>
        </w:r>
        <w:r w:rsidRPr="00E52CA3">
          <w:rPr>
            <w:rFonts w:ascii="Arial" w:hAnsi="Arial" w:cs="Arial"/>
            <w:sz w:val="20"/>
            <w:szCs w:val="20"/>
          </w:rPr>
          <w:fldChar w:fldCharType="separate"/>
        </w:r>
        <w:r w:rsidR="00423063" w:rsidRPr="00423063">
          <w:rPr>
            <w:rFonts w:ascii="Arial" w:hAnsi="Arial" w:cs="Arial"/>
            <w:noProof/>
            <w:sz w:val="20"/>
            <w:szCs w:val="20"/>
            <w:lang w:val="es-ES"/>
          </w:rPr>
          <w:t>4</w:t>
        </w:r>
        <w:r w:rsidRPr="00E52CA3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de 4</w:t>
        </w:r>
      </w:p>
      <w:p w14:paraId="09CBF926" w14:textId="6198E57D" w:rsidR="00AE0C0E" w:rsidRPr="00E52CA3" w:rsidRDefault="00F720C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</w:p>
    </w:sdtContent>
  </w:sdt>
  <w:p w14:paraId="1E5DF064" w14:textId="77777777" w:rsidR="00AE0C0E" w:rsidRPr="00E52CA3" w:rsidRDefault="00AE0C0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hAnsi="Arial" w:cs="Arial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4BB0" w14:textId="77777777" w:rsidR="00AE0C0E" w:rsidRDefault="00AE0C0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4"/>
        <w:szCs w:val="24"/>
      </w:rPr>
    </w:pPr>
  </w:p>
  <w:tbl>
    <w:tblPr>
      <w:tblStyle w:val="a1"/>
      <w:tblW w:w="968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54"/>
      <w:gridCol w:w="3629"/>
      <w:gridCol w:w="3375"/>
      <w:gridCol w:w="1330"/>
    </w:tblGrid>
    <w:tr w:rsidR="00AE0C0E" w14:paraId="53850357" w14:textId="77777777">
      <w:trPr>
        <w:trHeight w:val="129"/>
      </w:trPr>
      <w:tc>
        <w:tcPr>
          <w:tcW w:w="1354" w:type="dxa"/>
          <w:vAlign w:val="center"/>
        </w:tcPr>
        <w:p w14:paraId="280F7A34" w14:textId="77777777" w:rsidR="00AE0C0E" w:rsidRDefault="00AE0C0E">
          <w:pPr>
            <w:rPr>
              <w:rFonts w:ascii="Corbel" w:eastAsia="Corbel" w:hAnsi="Corbel" w:cs="Corbel"/>
              <w:sz w:val="16"/>
              <w:szCs w:val="16"/>
            </w:rPr>
          </w:pPr>
          <w:bookmarkStart w:id="2" w:name="_30j0zll" w:colFirst="0" w:colLast="0"/>
          <w:bookmarkEnd w:id="2"/>
        </w:p>
      </w:tc>
      <w:tc>
        <w:tcPr>
          <w:tcW w:w="7004" w:type="dxa"/>
          <w:gridSpan w:val="2"/>
        </w:tcPr>
        <w:p w14:paraId="74CFD981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Página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</w:rPr>
            <w:t>5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  <w:tc>
        <w:tcPr>
          <w:tcW w:w="1330" w:type="dxa"/>
          <w:vMerge w:val="restart"/>
        </w:tcPr>
        <w:p w14:paraId="64D8280A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80"/>
            </w:tabs>
            <w:spacing w:line="276" w:lineRule="auto"/>
            <w:rPr>
              <w:rFonts w:ascii="Arial Narrow" w:eastAsia="Arial Narrow" w:hAnsi="Arial Narrow" w:cs="Arial Narrow"/>
              <w:color w:val="000000"/>
              <w:sz w:val="23"/>
              <w:szCs w:val="23"/>
            </w:rPr>
          </w:pPr>
          <w:r>
            <w:rPr>
              <w:rFonts w:ascii="Arial Narrow" w:eastAsia="Arial Narrow" w:hAnsi="Arial Narrow" w:cs="Arial Narrow"/>
              <w:noProof/>
              <w:color w:val="000000"/>
              <w:sz w:val="23"/>
              <w:szCs w:val="23"/>
              <w:lang w:val="es-ES" w:eastAsia="es-ES"/>
            </w:rPr>
            <w:drawing>
              <wp:inline distT="0" distB="0" distL="0" distR="0" wp14:anchorId="1DB7B892" wp14:editId="2C3085FE">
                <wp:extent cx="735220" cy="753274"/>
                <wp:effectExtent l="0" t="0" r="0" b="0"/>
                <wp:docPr id="1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220" cy="7532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E0C0E" w14:paraId="5A985493" w14:textId="77777777">
      <w:trPr>
        <w:trHeight w:val="496"/>
      </w:trPr>
      <w:tc>
        <w:tcPr>
          <w:tcW w:w="1354" w:type="dxa"/>
        </w:tcPr>
        <w:p w14:paraId="30DDF62D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80"/>
            </w:tabs>
            <w:spacing w:line="276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ABC / ABC</w:t>
          </w:r>
        </w:p>
      </w:tc>
      <w:tc>
        <w:tcPr>
          <w:tcW w:w="3629" w:type="dxa"/>
        </w:tcPr>
        <w:p w14:paraId="4E39E075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880"/>
            </w:tabs>
            <w:spacing w:line="276" w:lineRule="auto"/>
            <w:jc w:val="right"/>
            <w:rPr>
              <w:color w:val="000000"/>
            </w:rPr>
          </w:pPr>
        </w:p>
      </w:tc>
      <w:tc>
        <w:tcPr>
          <w:tcW w:w="3375" w:type="dxa"/>
        </w:tcPr>
        <w:p w14:paraId="1D64C69E" w14:textId="77777777" w:rsidR="00AE0C0E" w:rsidRDefault="00AE0C0E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INSTALACIÓN CERTIFICADA</w:t>
          </w:r>
        </w:p>
        <w:p w14:paraId="3E245445" w14:textId="77777777" w:rsidR="00AE0C0E" w:rsidRDefault="00AE0C0E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SALA SUPERIOR</w:t>
          </w:r>
        </w:p>
        <w:p w14:paraId="12C1AFBD" w14:textId="77777777" w:rsidR="00AE0C0E" w:rsidRDefault="00AE0C0E">
          <w:pPr>
            <w:jc w:val="right"/>
            <w:rPr>
              <w:rFonts w:ascii="Arial" w:eastAsia="Arial" w:hAnsi="Arial" w:cs="Arial"/>
              <w:sz w:val="14"/>
              <w:szCs w:val="14"/>
            </w:rPr>
          </w:pPr>
          <w:r>
            <w:rPr>
              <w:sz w:val="18"/>
              <w:szCs w:val="18"/>
            </w:rPr>
            <w:t>FEBRERO 05, 2019 A FEBRERO 05, 2021</w:t>
          </w:r>
        </w:p>
      </w:tc>
      <w:tc>
        <w:tcPr>
          <w:tcW w:w="1330" w:type="dxa"/>
          <w:vMerge/>
        </w:tcPr>
        <w:p w14:paraId="2B7FA2E1" w14:textId="77777777" w:rsidR="00AE0C0E" w:rsidRDefault="00AE0C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4"/>
              <w:szCs w:val="14"/>
            </w:rPr>
          </w:pPr>
        </w:p>
      </w:tc>
    </w:tr>
  </w:tbl>
  <w:p w14:paraId="20F16625" w14:textId="77777777" w:rsidR="00AE0C0E" w:rsidRDefault="00AE0C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14B4" w14:textId="77777777" w:rsidR="00F720C1" w:rsidRDefault="00F720C1">
      <w:pPr>
        <w:spacing w:after="0" w:line="240" w:lineRule="auto"/>
      </w:pPr>
      <w:r>
        <w:separator/>
      </w:r>
    </w:p>
  </w:footnote>
  <w:footnote w:type="continuationSeparator" w:id="0">
    <w:p w14:paraId="54777D70" w14:textId="77777777" w:rsidR="00F720C1" w:rsidRDefault="00F7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0"/>
      <w:tblW w:w="10164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8"/>
      <w:gridCol w:w="8036"/>
    </w:tblGrid>
    <w:tr w:rsidR="00AE0C0E" w14:paraId="060DD60A" w14:textId="77777777" w:rsidTr="00296DE2">
      <w:trPr>
        <w:trHeight w:val="1510"/>
      </w:trPr>
      <w:tc>
        <w:tcPr>
          <w:tcW w:w="2128" w:type="dxa"/>
          <w:vAlign w:val="center"/>
        </w:tcPr>
        <w:p w14:paraId="7648FE89" w14:textId="4832731A" w:rsidR="00AE0C0E" w:rsidRDefault="00AE0C0E" w:rsidP="00CA15F2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</w:rPr>
          </w:pPr>
          <w:r>
            <w:tab/>
          </w:r>
          <w:r>
            <w:rPr>
              <w:b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72FFB2D9" wp14:editId="567D333B">
                <wp:simplePos x="0" y="0"/>
                <wp:positionH relativeFrom="column">
                  <wp:posOffset>68580</wp:posOffset>
                </wp:positionH>
                <wp:positionV relativeFrom="paragraph">
                  <wp:posOffset>3810</wp:posOffset>
                </wp:positionV>
                <wp:extent cx="1228907" cy="1186180"/>
                <wp:effectExtent l="0" t="0" r="0" b="7620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907" cy="1186180"/>
                        </a:xfrm>
                        <a:prstGeom prst="rect">
                          <a:avLst/>
                        </a:prstGeom>
                        <a:ln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36" w:type="dxa"/>
          <w:vAlign w:val="center"/>
        </w:tcPr>
        <w:p w14:paraId="6959B2EC" w14:textId="77777777" w:rsidR="00AE0C0E" w:rsidRDefault="00AE0C0E" w:rsidP="00CA15F2">
          <w:pPr>
            <w:pBdr>
              <w:top w:val="nil"/>
              <w:left w:val="nil"/>
              <w:bottom w:val="nil"/>
              <w:right w:val="nil"/>
              <w:between w:val="nil"/>
            </w:pBdr>
            <w:ind w:left="-172" w:right="-250" w:firstLine="12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TRIBUNAL ELECTORAL DEL PODER JUDICIAL DE LA FEDERACIÓN</w:t>
          </w:r>
        </w:p>
        <w:p w14:paraId="3131E9F7" w14:textId="77777777" w:rsidR="00AE0C0E" w:rsidRDefault="00AE0C0E" w:rsidP="00CA15F2">
          <w:pPr>
            <w:pBdr>
              <w:top w:val="nil"/>
              <w:left w:val="nil"/>
              <w:bottom w:val="nil"/>
              <w:right w:val="nil"/>
              <w:between w:val="nil"/>
            </w:pBdr>
            <w:ind w:left="1898" w:right="-160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DIRECCIÓN GENERAL DE COMUNICACIÓN SOCIAL</w:t>
          </w:r>
        </w:p>
        <w:p w14:paraId="62E98796" w14:textId="77777777" w:rsidR="00AE0C0E" w:rsidRDefault="00AE0C0E" w:rsidP="00CA15F2">
          <w:pPr>
            <w:pBdr>
              <w:top w:val="nil"/>
              <w:left w:val="nil"/>
              <w:bottom w:val="nil"/>
              <w:right w:val="nil"/>
              <w:between w:val="nil"/>
            </w:pBdr>
            <w:ind w:right="-70"/>
            <w:jc w:val="right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DIRECCIÓN DE PRODUCCIÓN Y DIFUSIÓN</w:t>
          </w:r>
        </w:p>
        <w:p w14:paraId="3403840C" w14:textId="77777777" w:rsidR="00AE0C0E" w:rsidRDefault="00AE0C0E" w:rsidP="00CA15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  <w:p w14:paraId="05ED922F" w14:textId="77777777" w:rsidR="00AE0C0E" w:rsidRDefault="00AE0C0E" w:rsidP="00CA15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</w:tr>
  </w:tbl>
  <w:p w14:paraId="5BD9039D" w14:textId="05A6B482" w:rsidR="00AE0C0E" w:rsidRDefault="00AE0C0E" w:rsidP="00091B9E">
    <w:pPr>
      <w:pBdr>
        <w:top w:val="nil"/>
        <w:left w:val="nil"/>
        <w:bottom w:val="nil"/>
        <w:right w:val="nil"/>
        <w:between w:val="nil"/>
      </w:pBdr>
      <w:tabs>
        <w:tab w:val="left" w:pos="3278"/>
        <w:tab w:val="left" w:pos="4014"/>
        <w:tab w:val="center" w:pos="4419"/>
        <w:tab w:val="left" w:pos="5346"/>
        <w:tab w:val="right" w:pos="8838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</w:r>
  </w:p>
  <w:p w14:paraId="24521418" w14:textId="77777777" w:rsidR="00AE0C0E" w:rsidRDefault="00AE0C0E" w:rsidP="00CA15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0357" w14:textId="77777777" w:rsidR="00AE0C0E" w:rsidRDefault="00AE0C0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sz w:val="24"/>
        <w:szCs w:val="24"/>
      </w:rPr>
    </w:pPr>
  </w:p>
  <w:tbl>
    <w:tblPr>
      <w:tblStyle w:val="a"/>
      <w:tblW w:w="97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86"/>
      <w:gridCol w:w="7795"/>
    </w:tblGrid>
    <w:tr w:rsidR="00AE0C0E" w14:paraId="0A1C0D4E" w14:textId="77777777">
      <w:trPr>
        <w:trHeight w:val="1417"/>
      </w:trPr>
      <w:tc>
        <w:tcPr>
          <w:tcW w:w="1986" w:type="dxa"/>
          <w:vAlign w:val="center"/>
        </w:tcPr>
        <w:p w14:paraId="63C60FF2" w14:textId="77777777" w:rsidR="00AE0C0E" w:rsidRDefault="00AE0C0E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161F5A49" wp14:editId="4BD74D27">
                <wp:extent cx="1260533" cy="1096894"/>
                <wp:effectExtent l="0" t="0" r="0" b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533" cy="10968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5" w:type="dxa"/>
          <w:vAlign w:val="bottom"/>
        </w:tcPr>
        <w:p w14:paraId="405EB3F8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color w:val="000000"/>
              <w:sz w:val="23"/>
              <w:szCs w:val="23"/>
            </w:rPr>
          </w:pPr>
        </w:p>
        <w:p w14:paraId="0C2B1101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color w:val="000000"/>
              <w:sz w:val="2"/>
              <w:szCs w:val="2"/>
            </w:rPr>
          </w:pPr>
        </w:p>
        <w:p w14:paraId="6B381A05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color w:val="000000"/>
              <w:sz w:val="23"/>
              <w:szCs w:val="23"/>
            </w:rPr>
          </w:pPr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>TRIBUNAL ELECTORAL DEL PODER JUDICIAL DE LA FEDERACIÓN</w:t>
          </w:r>
        </w:p>
        <w:p w14:paraId="624B16AB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color w:val="000000"/>
              <w:sz w:val="23"/>
              <w:szCs w:val="23"/>
            </w:rPr>
          </w:pPr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>PRESIDENCIA</w:t>
          </w:r>
        </w:p>
        <w:p w14:paraId="75B18AD7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  <w:p w14:paraId="37284973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“2020, Año de Leona Vicario, Benemérita Madre de la Patria”</w:t>
          </w:r>
        </w:p>
        <w:p w14:paraId="1F96979F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color w:val="000000"/>
              <w:sz w:val="23"/>
              <w:szCs w:val="23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Oficio TEPJF-AA/           /2020</w:t>
          </w:r>
        </w:p>
        <w:p w14:paraId="6F43763E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000000"/>
              <w:sz w:val="2"/>
              <w:szCs w:val="2"/>
            </w:rPr>
          </w:pPr>
        </w:p>
      </w:tc>
    </w:tr>
    <w:tr w:rsidR="00AE0C0E" w14:paraId="543250AE" w14:textId="77777777">
      <w:trPr>
        <w:trHeight w:val="486"/>
      </w:trPr>
      <w:tc>
        <w:tcPr>
          <w:tcW w:w="1986" w:type="dxa"/>
          <w:vAlign w:val="center"/>
        </w:tcPr>
        <w:p w14:paraId="713728A6" w14:textId="77777777" w:rsidR="00AE0C0E" w:rsidRDefault="00AE0C0E">
          <w:pPr>
            <w:tabs>
              <w:tab w:val="center" w:pos="4419"/>
              <w:tab w:val="right" w:pos="8838"/>
            </w:tabs>
            <w:jc w:val="center"/>
          </w:pPr>
        </w:p>
      </w:tc>
      <w:tc>
        <w:tcPr>
          <w:tcW w:w="7795" w:type="dxa"/>
          <w:vAlign w:val="bottom"/>
        </w:tcPr>
        <w:p w14:paraId="6C1F54CC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color w:val="000000"/>
              <w:sz w:val="23"/>
              <w:szCs w:val="23"/>
            </w:rPr>
          </w:pPr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>Ciudad de México, a 15 de enero de 2020</w:t>
          </w:r>
        </w:p>
        <w:p w14:paraId="090516EA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color w:val="000000"/>
              <w:sz w:val="23"/>
              <w:szCs w:val="23"/>
            </w:rPr>
          </w:pPr>
        </w:p>
        <w:p w14:paraId="234CCBC7" w14:textId="77777777" w:rsidR="00AE0C0E" w:rsidRDefault="00AE0C0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b/>
              <w:color w:val="000000"/>
              <w:sz w:val="23"/>
              <w:szCs w:val="23"/>
            </w:rPr>
          </w:pPr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>Asunto: Opcional</w:t>
          </w:r>
        </w:p>
      </w:tc>
    </w:tr>
  </w:tbl>
  <w:p w14:paraId="294E16AD" w14:textId="77777777" w:rsidR="00AE0C0E" w:rsidRDefault="00AE0C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305"/>
    <w:multiLevelType w:val="hybridMultilevel"/>
    <w:tmpl w:val="27F41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8BE"/>
    <w:multiLevelType w:val="multilevel"/>
    <w:tmpl w:val="BD7E1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C5854"/>
    <w:multiLevelType w:val="hybridMultilevel"/>
    <w:tmpl w:val="CBA05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4561A"/>
    <w:multiLevelType w:val="hybridMultilevel"/>
    <w:tmpl w:val="F8E64DF8"/>
    <w:lvl w:ilvl="0" w:tplc="0C0A000F">
      <w:start w:val="1"/>
      <w:numFmt w:val="decimal"/>
      <w:lvlText w:val="%1."/>
      <w:lvlJc w:val="left"/>
      <w:pPr>
        <w:ind w:left="1170" w:hanging="360"/>
      </w:pPr>
    </w:lvl>
    <w:lvl w:ilvl="1" w:tplc="0C0A0019" w:tentative="1">
      <w:start w:val="1"/>
      <w:numFmt w:val="lowerLetter"/>
      <w:lvlText w:val="%2."/>
      <w:lvlJc w:val="left"/>
      <w:pPr>
        <w:ind w:left="1890" w:hanging="360"/>
      </w:pPr>
    </w:lvl>
    <w:lvl w:ilvl="2" w:tplc="0C0A001B" w:tentative="1">
      <w:start w:val="1"/>
      <w:numFmt w:val="lowerRoman"/>
      <w:lvlText w:val="%3."/>
      <w:lvlJc w:val="right"/>
      <w:pPr>
        <w:ind w:left="2610" w:hanging="180"/>
      </w:pPr>
    </w:lvl>
    <w:lvl w:ilvl="3" w:tplc="0C0A000F" w:tentative="1">
      <w:start w:val="1"/>
      <w:numFmt w:val="decimal"/>
      <w:lvlText w:val="%4."/>
      <w:lvlJc w:val="left"/>
      <w:pPr>
        <w:ind w:left="3330" w:hanging="360"/>
      </w:pPr>
    </w:lvl>
    <w:lvl w:ilvl="4" w:tplc="0C0A0019" w:tentative="1">
      <w:start w:val="1"/>
      <w:numFmt w:val="lowerLetter"/>
      <w:lvlText w:val="%5."/>
      <w:lvlJc w:val="left"/>
      <w:pPr>
        <w:ind w:left="4050" w:hanging="360"/>
      </w:pPr>
    </w:lvl>
    <w:lvl w:ilvl="5" w:tplc="0C0A001B" w:tentative="1">
      <w:start w:val="1"/>
      <w:numFmt w:val="lowerRoman"/>
      <w:lvlText w:val="%6."/>
      <w:lvlJc w:val="right"/>
      <w:pPr>
        <w:ind w:left="4770" w:hanging="180"/>
      </w:pPr>
    </w:lvl>
    <w:lvl w:ilvl="6" w:tplc="0C0A000F" w:tentative="1">
      <w:start w:val="1"/>
      <w:numFmt w:val="decimal"/>
      <w:lvlText w:val="%7."/>
      <w:lvlJc w:val="left"/>
      <w:pPr>
        <w:ind w:left="5490" w:hanging="360"/>
      </w:pPr>
    </w:lvl>
    <w:lvl w:ilvl="7" w:tplc="0C0A0019" w:tentative="1">
      <w:start w:val="1"/>
      <w:numFmt w:val="lowerLetter"/>
      <w:lvlText w:val="%8."/>
      <w:lvlJc w:val="left"/>
      <w:pPr>
        <w:ind w:left="6210" w:hanging="360"/>
      </w:pPr>
    </w:lvl>
    <w:lvl w:ilvl="8" w:tplc="0C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BE01ECC"/>
    <w:multiLevelType w:val="hybridMultilevel"/>
    <w:tmpl w:val="3AC4BBA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B0230B5"/>
    <w:multiLevelType w:val="hybridMultilevel"/>
    <w:tmpl w:val="812E48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F5D04"/>
    <w:multiLevelType w:val="hybridMultilevel"/>
    <w:tmpl w:val="5F8CFC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57D4F"/>
    <w:multiLevelType w:val="hybridMultilevel"/>
    <w:tmpl w:val="1DF6E11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00EFC"/>
    <w:multiLevelType w:val="hybridMultilevel"/>
    <w:tmpl w:val="D80CCE7E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41FE8"/>
    <w:multiLevelType w:val="hybridMultilevel"/>
    <w:tmpl w:val="8EE8C3B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E22BA"/>
    <w:multiLevelType w:val="hybridMultilevel"/>
    <w:tmpl w:val="0BA879DA"/>
    <w:lvl w:ilvl="0" w:tplc="31668F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74C9D"/>
    <w:multiLevelType w:val="hybridMultilevel"/>
    <w:tmpl w:val="AE52F6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A32"/>
    <w:multiLevelType w:val="hybridMultilevel"/>
    <w:tmpl w:val="70CE18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D4EAC"/>
    <w:multiLevelType w:val="hybridMultilevel"/>
    <w:tmpl w:val="C8FC09CE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F107F2A"/>
    <w:multiLevelType w:val="hybridMultilevel"/>
    <w:tmpl w:val="6518A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94C3F"/>
    <w:multiLevelType w:val="hybridMultilevel"/>
    <w:tmpl w:val="0BA879DA"/>
    <w:lvl w:ilvl="0" w:tplc="31668F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C1BDC"/>
    <w:multiLevelType w:val="hybridMultilevel"/>
    <w:tmpl w:val="ECCA8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C3F07"/>
    <w:multiLevelType w:val="hybridMultilevel"/>
    <w:tmpl w:val="4A980424"/>
    <w:lvl w:ilvl="0" w:tplc="29FE6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17774"/>
    <w:multiLevelType w:val="hybridMultilevel"/>
    <w:tmpl w:val="F66AE1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F09BE"/>
    <w:multiLevelType w:val="hybridMultilevel"/>
    <w:tmpl w:val="843ED1B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6"/>
  </w:num>
  <w:num w:numId="9">
    <w:abstractNumId w:val="12"/>
  </w:num>
  <w:num w:numId="10">
    <w:abstractNumId w:val="10"/>
  </w:num>
  <w:num w:numId="11">
    <w:abstractNumId w:val="17"/>
  </w:num>
  <w:num w:numId="12">
    <w:abstractNumId w:val="13"/>
  </w:num>
  <w:num w:numId="13">
    <w:abstractNumId w:val="0"/>
  </w:num>
  <w:num w:numId="14">
    <w:abstractNumId w:val="14"/>
  </w:num>
  <w:num w:numId="15">
    <w:abstractNumId w:val="9"/>
  </w:num>
  <w:num w:numId="16">
    <w:abstractNumId w:val="19"/>
  </w:num>
  <w:num w:numId="17">
    <w:abstractNumId w:val="8"/>
  </w:num>
  <w:num w:numId="18">
    <w:abstractNumId w:val="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0F"/>
    <w:rsid w:val="00006216"/>
    <w:rsid w:val="00007290"/>
    <w:rsid w:val="000172F2"/>
    <w:rsid w:val="0002113D"/>
    <w:rsid w:val="00024CE9"/>
    <w:rsid w:val="0004337E"/>
    <w:rsid w:val="00070CB3"/>
    <w:rsid w:val="00087ED0"/>
    <w:rsid w:val="00090E6F"/>
    <w:rsid w:val="00091B9E"/>
    <w:rsid w:val="00097D1B"/>
    <w:rsid w:val="000A4871"/>
    <w:rsid w:val="000B10BE"/>
    <w:rsid w:val="000B719D"/>
    <w:rsid w:val="000D0654"/>
    <w:rsid w:val="000D2382"/>
    <w:rsid w:val="000E5C97"/>
    <w:rsid w:val="000F084A"/>
    <w:rsid w:val="000F2D70"/>
    <w:rsid w:val="000F3F55"/>
    <w:rsid w:val="000F69AF"/>
    <w:rsid w:val="001022F2"/>
    <w:rsid w:val="001071AD"/>
    <w:rsid w:val="0011045D"/>
    <w:rsid w:val="00111CED"/>
    <w:rsid w:val="0011413D"/>
    <w:rsid w:val="00131A4D"/>
    <w:rsid w:val="001345E7"/>
    <w:rsid w:val="00140356"/>
    <w:rsid w:val="00141DCA"/>
    <w:rsid w:val="0014466E"/>
    <w:rsid w:val="001458CD"/>
    <w:rsid w:val="00150756"/>
    <w:rsid w:val="00156413"/>
    <w:rsid w:val="00156A43"/>
    <w:rsid w:val="00162457"/>
    <w:rsid w:val="00167C5E"/>
    <w:rsid w:val="001711DD"/>
    <w:rsid w:val="0017780C"/>
    <w:rsid w:val="00186CD3"/>
    <w:rsid w:val="00193639"/>
    <w:rsid w:val="001B382C"/>
    <w:rsid w:val="001B456C"/>
    <w:rsid w:val="001C1C42"/>
    <w:rsid w:val="001D2B03"/>
    <w:rsid w:val="001D36A3"/>
    <w:rsid w:val="001D4A9D"/>
    <w:rsid w:val="001E7D8B"/>
    <w:rsid w:val="0020729B"/>
    <w:rsid w:val="00210BCA"/>
    <w:rsid w:val="00216C41"/>
    <w:rsid w:val="00216FAB"/>
    <w:rsid w:val="00217CFD"/>
    <w:rsid w:val="00217DC4"/>
    <w:rsid w:val="00222CD0"/>
    <w:rsid w:val="00231301"/>
    <w:rsid w:val="002327D4"/>
    <w:rsid w:val="00235B30"/>
    <w:rsid w:val="00240C4C"/>
    <w:rsid w:val="002468EE"/>
    <w:rsid w:val="00250250"/>
    <w:rsid w:val="00256AC2"/>
    <w:rsid w:val="00262D98"/>
    <w:rsid w:val="00265B29"/>
    <w:rsid w:val="002679ED"/>
    <w:rsid w:val="00271297"/>
    <w:rsid w:val="00273E5B"/>
    <w:rsid w:val="00275E5E"/>
    <w:rsid w:val="00276C24"/>
    <w:rsid w:val="00291CE2"/>
    <w:rsid w:val="00296DE2"/>
    <w:rsid w:val="002A02B2"/>
    <w:rsid w:val="002A45B2"/>
    <w:rsid w:val="002A71BF"/>
    <w:rsid w:val="002B3B02"/>
    <w:rsid w:val="002C6334"/>
    <w:rsid w:val="002C7F7A"/>
    <w:rsid w:val="002D1991"/>
    <w:rsid w:val="002E1E9C"/>
    <w:rsid w:val="002E2B9C"/>
    <w:rsid w:val="002E4741"/>
    <w:rsid w:val="002F3719"/>
    <w:rsid w:val="00302BD5"/>
    <w:rsid w:val="0030414A"/>
    <w:rsid w:val="003116D1"/>
    <w:rsid w:val="00320D35"/>
    <w:rsid w:val="00324648"/>
    <w:rsid w:val="0033462A"/>
    <w:rsid w:val="003365B1"/>
    <w:rsid w:val="00337CE0"/>
    <w:rsid w:val="00344D67"/>
    <w:rsid w:val="00353D8D"/>
    <w:rsid w:val="00363B39"/>
    <w:rsid w:val="00365738"/>
    <w:rsid w:val="00366B62"/>
    <w:rsid w:val="0036731E"/>
    <w:rsid w:val="00377907"/>
    <w:rsid w:val="0039113E"/>
    <w:rsid w:val="003A47DF"/>
    <w:rsid w:val="003A58D4"/>
    <w:rsid w:val="003B531D"/>
    <w:rsid w:val="003B7B7B"/>
    <w:rsid w:val="003C7884"/>
    <w:rsid w:val="003D4D62"/>
    <w:rsid w:val="003D4F75"/>
    <w:rsid w:val="003E6C32"/>
    <w:rsid w:val="003E7EF9"/>
    <w:rsid w:val="003F1D0D"/>
    <w:rsid w:val="003F1E21"/>
    <w:rsid w:val="003F4ACB"/>
    <w:rsid w:val="00400C3F"/>
    <w:rsid w:val="0040130D"/>
    <w:rsid w:val="004107D7"/>
    <w:rsid w:val="00411087"/>
    <w:rsid w:val="004169D0"/>
    <w:rsid w:val="00423063"/>
    <w:rsid w:val="00430824"/>
    <w:rsid w:val="00434A9D"/>
    <w:rsid w:val="004459B1"/>
    <w:rsid w:val="00451A89"/>
    <w:rsid w:val="004565FE"/>
    <w:rsid w:val="004619D5"/>
    <w:rsid w:val="00463884"/>
    <w:rsid w:val="00463DB1"/>
    <w:rsid w:val="00480904"/>
    <w:rsid w:val="00480EF0"/>
    <w:rsid w:val="00482AE1"/>
    <w:rsid w:val="00493D0B"/>
    <w:rsid w:val="00496A8B"/>
    <w:rsid w:val="004A3AC6"/>
    <w:rsid w:val="004A6554"/>
    <w:rsid w:val="004B5186"/>
    <w:rsid w:val="004B73CF"/>
    <w:rsid w:val="004C2666"/>
    <w:rsid w:val="004C2BF9"/>
    <w:rsid w:val="004C7161"/>
    <w:rsid w:val="004C7B77"/>
    <w:rsid w:val="004E0A59"/>
    <w:rsid w:val="004F4B9B"/>
    <w:rsid w:val="00501890"/>
    <w:rsid w:val="005132C0"/>
    <w:rsid w:val="00526E46"/>
    <w:rsid w:val="00541D66"/>
    <w:rsid w:val="00552CAB"/>
    <w:rsid w:val="00556291"/>
    <w:rsid w:val="00567CAE"/>
    <w:rsid w:val="00572ECD"/>
    <w:rsid w:val="00587FF5"/>
    <w:rsid w:val="005965A9"/>
    <w:rsid w:val="005B4F45"/>
    <w:rsid w:val="005C14AD"/>
    <w:rsid w:val="005C201D"/>
    <w:rsid w:val="005C6CDA"/>
    <w:rsid w:val="005D4990"/>
    <w:rsid w:val="005D6F4E"/>
    <w:rsid w:val="005F2594"/>
    <w:rsid w:val="0061659F"/>
    <w:rsid w:val="00627035"/>
    <w:rsid w:val="006371D1"/>
    <w:rsid w:val="00637E39"/>
    <w:rsid w:val="00641510"/>
    <w:rsid w:val="006443EB"/>
    <w:rsid w:val="00650637"/>
    <w:rsid w:val="006533C7"/>
    <w:rsid w:val="0065569F"/>
    <w:rsid w:val="00660B1E"/>
    <w:rsid w:val="00674D94"/>
    <w:rsid w:val="00675B2C"/>
    <w:rsid w:val="00683DD9"/>
    <w:rsid w:val="00695837"/>
    <w:rsid w:val="00695CDB"/>
    <w:rsid w:val="006A60D2"/>
    <w:rsid w:val="006A7C9D"/>
    <w:rsid w:val="006C045E"/>
    <w:rsid w:val="006C22DF"/>
    <w:rsid w:val="006F242C"/>
    <w:rsid w:val="0070204E"/>
    <w:rsid w:val="007036DA"/>
    <w:rsid w:val="007125D0"/>
    <w:rsid w:val="00722096"/>
    <w:rsid w:val="00732F51"/>
    <w:rsid w:val="0074558E"/>
    <w:rsid w:val="0074682A"/>
    <w:rsid w:val="00750B49"/>
    <w:rsid w:val="00751694"/>
    <w:rsid w:val="007625DD"/>
    <w:rsid w:val="00784411"/>
    <w:rsid w:val="00794679"/>
    <w:rsid w:val="007A01DC"/>
    <w:rsid w:val="007A431E"/>
    <w:rsid w:val="007B0C94"/>
    <w:rsid w:val="007B792E"/>
    <w:rsid w:val="007D01AA"/>
    <w:rsid w:val="007D074A"/>
    <w:rsid w:val="007D4B51"/>
    <w:rsid w:val="007E0411"/>
    <w:rsid w:val="007E439C"/>
    <w:rsid w:val="007F2AAE"/>
    <w:rsid w:val="00803401"/>
    <w:rsid w:val="008038C9"/>
    <w:rsid w:val="00813345"/>
    <w:rsid w:val="00821EE0"/>
    <w:rsid w:val="008244CB"/>
    <w:rsid w:val="0082506F"/>
    <w:rsid w:val="008263BA"/>
    <w:rsid w:val="008279C4"/>
    <w:rsid w:val="008354DB"/>
    <w:rsid w:val="008361C6"/>
    <w:rsid w:val="00846D2D"/>
    <w:rsid w:val="00852F3F"/>
    <w:rsid w:val="00857D2A"/>
    <w:rsid w:val="00863A0A"/>
    <w:rsid w:val="00880927"/>
    <w:rsid w:val="00896B69"/>
    <w:rsid w:val="008B1575"/>
    <w:rsid w:val="008C1009"/>
    <w:rsid w:val="008C107D"/>
    <w:rsid w:val="008E0AA0"/>
    <w:rsid w:val="008E3ADC"/>
    <w:rsid w:val="008E7B53"/>
    <w:rsid w:val="008F3D98"/>
    <w:rsid w:val="008F50DE"/>
    <w:rsid w:val="008F7D0F"/>
    <w:rsid w:val="009011B2"/>
    <w:rsid w:val="00906A59"/>
    <w:rsid w:val="00910C41"/>
    <w:rsid w:val="0092553C"/>
    <w:rsid w:val="00926349"/>
    <w:rsid w:val="0093561B"/>
    <w:rsid w:val="009358A2"/>
    <w:rsid w:val="00935ABB"/>
    <w:rsid w:val="00943359"/>
    <w:rsid w:val="00953D96"/>
    <w:rsid w:val="0095526F"/>
    <w:rsid w:val="009572F0"/>
    <w:rsid w:val="00960186"/>
    <w:rsid w:val="0096259E"/>
    <w:rsid w:val="009706A6"/>
    <w:rsid w:val="00980DA0"/>
    <w:rsid w:val="00982A17"/>
    <w:rsid w:val="00985938"/>
    <w:rsid w:val="0098722E"/>
    <w:rsid w:val="00987376"/>
    <w:rsid w:val="00991DD9"/>
    <w:rsid w:val="00995D50"/>
    <w:rsid w:val="009B5C50"/>
    <w:rsid w:val="009C2F07"/>
    <w:rsid w:val="009D3388"/>
    <w:rsid w:val="009E1B74"/>
    <w:rsid w:val="009E1E51"/>
    <w:rsid w:val="009E202F"/>
    <w:rsid w:val="009F4E5B"/>
    <w:rsid w:val="009F7FDD"/>
    <w:rsid w:val="00A12354"/>
    <w:rsid w:val="00A12902"/>
    <w:rsid w:val="00A37C75"/>
    <w:rsid w:val="00A414AD"/>
    <w:rsid w:val="00A51F61"/>
    <w:rsid w:val="00A55244"/>
    <w:rsid w:val="00A66F14"/>
    <w:rsid w:val="00A708AD"/>
    <w:rsid w:val="00A77F1F"/>
    <w:rsid w:val="00A855FC"/>
    <w:rsid w:val="00A91939"/>
    <w:rsid w:val="00A93D69"/>
    <w:rsid w:val="00AA0130"/>
    <w:rsid w:val="00AA762E"/>
    <w:rsid w:val="00AB0B46"/>
    <w:rsid w:val="00AC04F0"/>
    <w:rsid w:val="00AC719B"/>
    <w:rsid w:val="00AC7CC4"/>
    <w:rsid w:val="00AD007E"/>
    <w:rsid w:val="00AD7AAF"/>
    <w:rsid w:val="00AE0C0E"/>
    <w:rsid w:val="00AF2CE8"/>
    <w:rsid w:val="00AF7866"/>
    <w:rsid w:val="00B02D64"/>
    <w:rsid w:val="00B07469"/>
    <w:rsid w:val="00B07762"/>
    <w:rsid w:val="00B11CA9"/>
    <w:rsid w:val="00B12073"/>
    <w:rsid w:val="00B21819"/>
    <w:rsid w:val="00B30643"/>
    <w:rsid w:val="00B352A7"/>
    <w:rsid w:val="00B578E5"/>
    <w:rsid w:val="00B729E4"/>
    <w:rsid w:val="00B7338F"/>
    <w:rsid w:val="00B738FB"/>
    <w:rsid w:val="00B7458A"/>
    <w:rsid w:val="00B76723"/>
    <w:rsid w:val="00B9297A"/>
    <w:rsid w:val="00B93BD6"/>
    <w:rsid w:val="00BA1996"/>
    <w:rsid w:val="00BA20AD"/>
    <w:rsid w:val="00BA7C41"/>
    <w:rsid w:val="00BB5A90"/>
    <w:rsid w:val="00BC0B1D"/>
    <w:rsid w:val="00BC2B73"/>
    <w:rsid w:val="00BD0152"/>
    <w:rsid w:val="00BE0613"/>
    <w:rsid w:val="00BF1C25"/>
    <w:rsid w:val="00C04082"/>
    <w:rsid w:val="00C1149C"/>
    <w:rsid w:val="00C15EC2"/>
    <w:rsid w:val="00C170A3"/>
    <w:rsid w:val="00C224C2"/>
    <w:rsid w:val="00C27ED9"/>
    <w:rsid w:val="00C35ACF"/>
    <w:rsid w:val="00C42DA3"/>
    <w:rsid w:val="00C51199"/>
    <w:rsid w:val="00C51B26"/>
    <w:rsid w:val="00C539A7"/>
    <w:rsid w:val="00C64726"/>
    <w:rsid w:val="00C762F1"/>
    <w:rsid w:val="00C77607"/>
    <w:rsid w:val="00C90C4D"/>
    <w:rsid w:val="00CA15F2"/>
    <w:rsid w:val="00CA30AE"/>
    <w:rsid w:val="00CB2906"/>
    <w:rsid w:val="00CB2B2E"/>
    <w:rsid w:val="00CB3DCB"/>
    <w:rsid w:val="00CB589F"/>
    <w:rsid w:val="00CC3691"/>
    <w:rsid w:val="00CC5808"/>
    <w:rsid w:val="00CC792D"/>
    <w:rsid w:val="00CD076D"/>
    <w:rsid w:val="00CE038A"/>
    <w:rsid w:val="00CF1AFF"/>
    <w:rsid w:val="00CF1F19"/>
    <w:rsid w:val="00CF3714"/>
    <w:rsid w:val="00D03C95"/>
    <w:rsid w:val="00D065AA"/>
    <w:rsid w:val="00D10DE7"/>
    <w:rsid w:val="00D15196"/>
    <w:rsid w:val="00D160FD"/>
    <w:rsid w:val="00D20C08"/>
    <w:rsid w:val="00D24882"/>
    <w:rsid w:val="00D346A8"/>
    <w:rsid w:val="00D3490F"/>
    <w:rsid w:val="00D46960"/>
    <w:rsid w:val="00D53CBA"/>
    <w:rsid w:val="00D53F5A"/>
    <w:rsid w:val="00D55B73"/>
    <w:rsid w:val="00D72F36"/>
    <w:rsid w:val="00D760C9"/>
    <w:rsid w:val="00D80F81"/>
    <w:rsid w:val="00D853C0"/>
    <w:rsid w:val="00D878E3"/>
    <w:rsid w:val="00D92B33"/>
    <w:rsid w:val="00D93733"/>
    <w:rsid w:val="00DB07B4"/>
    <w:rsid w:val="00DB2CC9"/>
    <w:rsid w:val="00DB63DB"/>
    <w:rsid w:val="00DF4FA0"/>
    <w:rsid w:val="00DF561C"/>
    <w:rsid w:val="00DF6517"/>
    <w:rsid w:val="00E03B56"/>
    <w:rsid w:val="00E07F31"/>
    <w:rsid w:val="00E229AC"/>
    <w:rsid w:val="00E32A24"/>
    <w:rsid w:val="00E35E54"/>
    <w:rsid w:val="00E362A2"/>
    <w:rsid w:val="00E43609"/>
    <w:rsid w:val="00E52CA3"/>
    <w:rsid w:val="00E552B5"/>
    <w:rsid w:val="00E666C4"/>
    <w:rsid w:val="00E671A6"/>
    <w:rsid w:val="00E7273E"/>
    <w:rsid w:val="00E72CEC"/>
    <w:rsid w:val="00E84D3E"/>
    <w:rsid w:val="00E919C4"/>
    <w:rsid w:val="00E92433"/>
    <w:rsid w:val="00EB575E"/>
    <w:rsid w:val="00EC1A05"/>
    <w:rsid w:val="00EC77AD"/>
    <w:rsid w:val="00EE3BAC"/>
    <w:rsid w:val="00EF16B9"/>
    <w:rsid w:val="00F35C56"/>
    <w:rsid w:val="00F52246"/>
    <w:rsid w:val="00F655A3"/>
    <w:rsid w:val="00F65D00"/>
    <w:rsid w:val="00F720C1"/>
    <w:rsid w:val="00F7689E"/>
    <w:rsid w:val="00F849F5"/>
    <w:rsid w:val="00F90D30"/>
    <w:rsid w:val="00F91773"/>
    <w:rsid w:val="00FA27A9"/>
    <w:rsid w:val="00FB0C52"/>
    <w:rsid w:val="00FB50E9"/>
    <w:rsid w:val="00FB6E2A"/>
    <w:rsid w:val="00FC3812"/>
    <w:rsid w:val="00FD096F"/>
    <w:rsid w:val="00FE42DB"/>
    <w:rsid w:val="00FE583A"/>
    <w:rsid w:val="00FE7CF5"/>
    <w:rsid w:val="00FF4B6C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7D757"/>
  <w15:docId w15:val="{0E234F95-C1AD-3446-B482-36F7238F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5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738"/>
  </w:style>
  <w:style w:type="paragraph" w:styleId="Piedepgina">
    <w:name w:val="footer"/>
    <w:basedOn w:val="Normal"/>
    <w:link w:val="PiedepginaCar"/>
    <w:uiPriority w:val="99"/>
    <w:unhideWhenUsed/>
    <w:rsid w:val="00365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738"/>
  </w:style>
  <w:style w:type="paragraph" w:styleId="Prrafodelista">
    <w:name w:val="List Paragraph"/>
    <w:basedOn w:val="Normal"/>
    <w:uiPriority w:val="34"/>
    <w:qFormat/>
    <w:rsid w:val="007B792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27A9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27A9"/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AA0130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AA0130"/>
    <w:rPr>
      <w:lang w:val="es-ES_tradnl"/>
    </w:rPr>
  </w:style>
  <w:style w:type="paragraph" w:customStyle="1" w:styleId="Cuerpo">
    <w:name w:val="Cuerpo"/>
    <w:rsid w:val="00AA01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s-ES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35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1065</Words>
  <Characters>6106</Characters>
  <Application>Microsoft Office Word</Application>
  <DocSecurity>0</DocSecurity>
  <Lines>381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Ruiz Contreras</dc:creator>
  <cp:keywords/>
  <dc:description/>
  <cp:lastModifiedBy>Álvaro Ruiz Contreras</cp:lastModifiedBy>
  <cp:revision>2</cp:revision>
  <cp:lastPrinted>2022-09-12T19:40:00Z</cp:lastPrinted>
  <dcterms:created xsi:type="dcterms:W3CDTF">2023-09-04T21:47:00Z</dcterms:created>
  <dcterms:modified xsi:type="dcterms:W3CDTF">2023-09-04T21:47:00Z</dcterms:modified>
  <cp:category/>
</cp:coreProperties>
</file>