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D7BAD" w:rsidRPr="007C602E" w:rsidTr="00581999">
        <w:trPr>
          <w:jc w:val="right"/>
        </w:trPr>
        <w:tc>
          <w:tcPr>
            <w:tcW w:w="4536" w:type="dxa"/>
          </w:tcPr>
          <w:p w:rsidR="001D7BAD" w:rsidRPr="007C602E" w:rsidRDefault="00CA7A79" w:rsidP="000D1DAF">
            <w:pPr>
              <w:spacing w:before="100" w:beforeAutospacing="1" w:after="0" w:line="240" w:lineRule="auto"/>
              <w:jc w:val="center"/>
              <w:rPr>
                <w:rFonts w:ascii="Arial" w:hAnsi="Arial" w:cs="Arial"/>
                <w:b/>
                <w:spacing w:val="-4"/>
                <w:sz w:val="24"/>
                <w:szCs w:val="24"/>
              </w:rPr>
            </w:pPr>
            <w:r w:rsidRPr="007C602E">
              <w:rPr>
                <w:rFonts w:ascii="Arial" w:hAnsi="Arial" w:cs="Arial"/>
                <w:b/>
                <w:spacing w:val="-4"/>
                <w:sz w:val="24"/>
                <w:szCs w:val="24"/>
              </w:rPr>
              <w:t>ADMISIÓN</w:t>
            </w:r>
          </w:p>
          <w:p w:rsidR="000D1DAF" w:rsidRPr="007C602E" w:rsidRDefault="000D1DAF" w:rsidP="000D1DAF">
            <w:pPr>
              <w:spacing w:before="100" w:beforeAutospacing="1" w:after="0" w:line="240" w:lineRule="auto"/>
              <w:jc w:val="both"/>
              <w:rPr>
                <w:rFonts w:ascii="Arial" w:hAnsi="Arial" w:cs="Arial"/>
                <w:b/>
                <w:bCs/>
                <w:caps/>
                <w:spacing w:val="-3"/>
                <w:sz w:val="24"/>
                <w:szCs w:val="24"/>
              </w:rPr>
            </w:pPr>
            <w:r w:rsidRPr="007C602E">
              <w:rPr>
                <w:rFonts w:ascii="Arial" w:hAnsi="Arial" w:cs="Arial"/>
                <w:b/>
                <w:bCs/>
                <w:spacing w:val="-3"/>
                <w:sz w:val="24"/>
                <w:szCs w:val="24"/>
              </w:rPr>
              <w:t>JUICIO PARA LA PROTECCIÓN DE LOS DERECHOS POLÍTICO-ELECTORALES DEL CIUDADANO</w:t>
            </w:r>
          </w:p>
          <w:p w:rsidR="000D1DAF" w:rsidRPr="007C602E" w:rsidRDefault="000D1DAF" w:rsidP="000D1DAF">
            <w:pPr>
              <w:pStyle w:val="NormalWeb"/>
              <w:spacing w:after="0" w:afterAutospacing="0"/>
              <w:jc w:val="both"/>
              <w:rPr>
                <w:rFonts w:ascii="Arial" w:hAnsi="Arial" w:cs="Arial"/>
                <w:bCs/>
                <w:caps/>
              </w:rPr>
            </w:pPr>
            <w:r w:rsidRPr="007C602E">
              <w:rPr>
                <w:rFonts w:ascii="Arial" w:hAnsi="Arial" w:cs="Arial"/>
                <w:b/>
                <w:bCs/>
              </w:rPr>
              <w:t xml:space="preserve">EXPEDIENTE: </w:t>
            </w:r>
            <w:r w:rsidR="00E642DA" w:rsidRPr="007C602E">
              <w:rPr>
                <w:rFonts w:ascii="Arial" w:hAnsi="Arial" w:cs="Arial"/>
                <w:bCs/>
              </w:rPr>
              <w:t>SM-</w:t>
            </w:r>
            <w:r w:rsidR="008F503F">
              <w:rPr>
                <w:rFonts w:ascii="Arial" w:hAnsi="Arial" w:cs="Arial"/>
                <w:bCs/>
              </w:rPr>
              <w:t>JDC-67/2017</w:t>
            </w:r>
          </w:p>
          <w:p w:rsidR="003A06E6" w:rsidRPr="007C602E" w:rsidRDefault="000D1DAF" w:rsidP="003A06E6">
            <w:pPr>
              <w:spacing w:before="100" w:beforeAutospacing="1" w:after="100" w:afterAutospacing="1"/>
              <w:jc w:val="both"/>
              <w:rPr>
                <w:rFonts w:ascii="Arial" w:hAnsi="Arial" w:cs="Arial"/>
                <w:sz w:val="24"/>
                <w:szCs w:val="24"/>
              </w:rPr>
            </w:pPr>
            <w:r w:rsidRPr="007C602E">
              <w:rPr>
                <w:rFonts w:ascii="Arial" w:hAnsi="Arial" w:cs="Arial"/>
                <w:b/>
                <w:sz w:val="24"/>
                <w:szCs w:val="24"/>
              </w:rPr>
              <w:t>ACTOR</w:t>
            </w:r>
            <w:r w:rsidR="00CA7A79" w:rsidRPr="007C602E">
              <w:rPr>
                <w:rFonts w:ascii="Arial" w:hAnsi="Arial" w:cs="Arial"/>
                <w:b/>
                <w:sz w:val="24"/>
                <w:szCs w:val="24"/>
              </w:rPr>
              <w:t>A</w:t>
            </w:r>
            <w:r w:rsidRPr="007C602E">
              <w:rPr>
                <w:rFonts w:ascii="Arial" w:hAnsi="Arial" w:cs="Arial"/>
                <w:b/>
                <w:sz w:val="24"/>
                <w:szCs w:val="24"/>
              </w:rPr>
              <w:t>:</w:t>
            </w:r>
            <w:r w:rsidR="008C7029" w:rsidRPr="007C602E">
              <w:rPr>
                <w:rFonts w:ascii="Arial" w:hAnsi="Arial" w:cs="Arial"/>
                <w:sz w:val="24"/>
                <w:szCs w:val="24"/>
              </w:rPr>
              <w:t xml:space="preserve"> </w:t>
            </w:r>
            <w:r w:rsidR="00CA7A79" w:rsidRPr="007C602E">
              <w:rPr>
                <w:rFonts w:ascii="Arial" w:hAnsi="Arial" w:cs="Arial"/>
                <w:sz w:val="24"/>
                <w:szCs w:val="24"/>
              </w:rPr>
              <w:t>AGRUPACIÓN POLÍTICA ESTATAL “DEFENSA PERMANENTE DE LOS DERECHOS SOCIALES”</w:t>
            </w:r>
          </w:p>
          <w:p w:rsidR="001D7BAD" w:rsidRPr="007C602E" w:rsidRDefault="003A06E6" w:rsidP="00CA7A79">
            <w:pPr>
              <w:spacing w:before="100" w:beforeAutospacing="1" w:after="100" w:afterAutospacing="1"/>
              <w:jc w:val="both"/>
              <w:rPr>
                <w:rFonts w:ascii="Arial" w:hAnsi="Arial" w:cs="Arial"/>
                <w:sz w:val="24"/>
                <w:szCs w:val="24"/>
              </w:rPr>
            </w:pPr>
            <w:r w:rsidRPr="007C602E">
              <w:rPr>
                <w:rFonts w:ascii="Arial" w:hAnsi="Arial" w:cs="Arial"/>
                <w:b/>
                <w:sz w:val="24"/>
                <w:szCs w:val="24"/>
              </w:rPr>
              <w:t xml:space="preserve">RESPONSABLE: </w:t>
            </w:r>
            <w:r w:rsidR="00CA7A79" w:rsidRPr="007C602E">
              <w:rPr>
                <w:rFonts w:ascii="Arial" w:hAnsi="Arial" w:cs="Arial"/>
                <w:sz w:val="24"/>
                <w:szCs w:val="24"/>
              </w:rPr>
              <w:t>TRIBUNAL ELECTORAL DEL ESTADO DE SAN LUIS POTOSÍ</w:t>
            </w:r>
          </w:p>
        </w:tc>
      </w:tr>
    </w:tbl>
    <w:p w:rsidR="00F6147D" w:rsidRPr="007C602E" w:rsidRDefault="00F6147D" w:rsidP="007C602E">
      <w:pPr>
        <w:spacing w:before="100" w:beforeAutospacing="1" w:after="100" w:afterAutospacing="1" w:line="360" w:lineRule="auto"/>
        <w:jc w:val="both"/>
        <w:rPr>
          <w:rFonts w:ascii="Arial" w:hAnsi="Arial" w:cs="Arial"/>
          <w:sz w:val="24"/>
          <w:szCs w:val="24"/>
        </w:rPr>
      </w:pPr>
      <w:r w:rsidRPr="007C602E">
        <w:rPr>
          <w:rFonts w:ascii="Arial" w:hAnsi="Arial" w:cs="Arial"/>
          <w:sz w:val="24"/>
          <w:szCs w:val="24"/>
        </w:rPr>
        <w:t xml:space="preserve">Monterrey, Nuevo León, a </w:t>
      </w:r>
      <w:r w:rsidR="00D01C9F">
        <w:rPr>
          <w:rFonts w:ascii="Arial" w:hAnsi="Arial" w:cs="Arial"/>
          <w:sz w:val="24"/>
          <w:szCs w:val="24"/>
        </w:rPr>
        <w:t>vei</w:t>
      </w:r>
      <w:r w:rsidR="00732560">
        <w:rPr>
          <w:rFonts w:ascii="Arial" w:hAnsi="Arial" w:cs="Arial"/>
          <w:sz w:val="24"/>
          <w:szCs w:val="24"/>
        </w:rPr>
        <w:t>nticuatro</w:t>
      </w:r>
      <w:r w:rsidR="00D01C9F">
        <w:rPr>
          <w:rFonts w:ascii="Arial" w:hAnsi="Arial" w:cs="Arial"/>
          <w:sz w:val="24"/>
          <w:szCs w:val="24"/>
        </w:rPr>
        <w:t xml:space="preserve"> de mayo</w:t>
      </w:r>
      <w:r w:rsidR="007375E6">
        <w:rPr>
          <w:rFonts w:ascii="Arial" w:hAnsi="Arial" w:cs="Arial"/>
          <w:sz w:val="24"/>
          <w:szCs w:val="24"/>
        </w:rPr>
        <w:t xml:space="preserve"> de dos mil </w:t>
      </w:r>
      <w:bookmarkStart w:id="0" w:name="_GoBack"/>
      <w:bookmarkEnd w:id="0"/>
      <w:r w:rsidR="007375E6">
        <w:rPr>
          <w:rFonts w:ascii="Arial" w:hAnsi="Arial" w:cs="Arial"/>
          <w:sz w:val="24"/>
          <w:szCs w:val="24"/>
        </w:rPr>
        <w:t>diecisi</w:t>
      </w:r>
      <w:r w:rsidR="007375E6" w:rsidRPr="007C602E">
        <w:rPr>
          <w:rFonts w:ascii="Arial" w:hAnsi="Arial" w:cs="Arial"/>
          <w:sz w:val="24"/>
          <w:szCs w:val="24"/>
        </w:rPr>
        <w:t>e</w:t>
      </w:r>
      <w:r w:rsidR="007375E6">
        <w:rPr>
          <w:rFonts w:ascii="Arial" w:hAnsi="Arial" w:cs="Arial"/>
          <w:sz w:val="24"/>
          <w:szCs w:val="24"/>
        </w:rPr>
        <w:t>te</w:t>
      </w:r>
      <w:r w:rsidRPr="007C602E">
        <w:rPr>
          <w:rFonts w:ascii="Arial" w:hAnsi="Arial" w:cs="Arial"/>
          <w:sz w:val="24"/>
          <w:szCs w:val="24"/>
        </w:rPr>
        <w:t>.</w:t>
      </w:r>
    </w:p>
    <w:p w:rsidR="007C602E" w:rsidRPr="00D01C9F" w:rsidRDefault="00D01C9F" w:rsidP="00D01C9F">
      <w:pPr>
        <w:spacing w:before="100" w:beforeAutospacing="1" w:after="100" w:afterAutospacing="1" w:line="360" w:lineRule="auto"/>
        <w:jc w:val="both"/>
        <w:rPr>
          <w:rFonts w:ascii="Arial" w:hAnsi="Arial" w:cs="Arial"/>
          <w:sz w:val="24"/>
          <w:szCs w:val="24"/>
        </w:rPr>
      </w:pPr>
      <w:r w:rsidRPr="005C347D">
        <w:rPr>
          <w:rFonts w:ascii="Arial" w:hAnsi="Arial" w:cs="Arial"/>
          <w:sz w:val="24"/>
          <w:szCs w:val="24"/>
        </w:rPr>
        <w:t>C</w:t>
      </w:r>
      <w:r w:rsidR="00CA7A79" w:rsidRPr="005C347D">
        <w:rPr>
          <w:rFonts w:ascii="Arial" w:hAnsi="Arial" w:cs="Arial"/>
          <w:sz w:val="24"/>
          <w:szCs w:val="24"/>
        </w:rPr>
        <w:t>on fundamento en lo dispuest</w:t>
      </w:r>
      <w:r w:rsidR="005C347D">
        <w:rPr>
          <w:rFonts w:ascii="Arial" w:hAnsi="Arial" w:cs="Arial"/>
          <w:sz w:val="24"/>
          <w:szCs w:val="24"/>
        </w:rPr>
        <w:t>o por los artículos 199, fraccio</w:t>
      </w:r>
      <w:r w:rsidR="00CA7A79" w:rsidRPr="005C347D">
        <w:rPr>
          <w:rFonts w:ascii="Arial" w:hAnsi="Arial" w:cs="Arial"/>
          <w:sz w:val="24"/>
          <w:szCs w:val="24"/>
        </w:rPr>
        <w:t>n</w:t>
      </w:r>
      <w:r w:rsidR="005C347D">
        <w:rPr>
          <w:rFonts w:ascii="Arial" w:hAnsi="Arial" w:cs="Arial"/>
          <w:sz w:val="24"/>
          <w:szCs w:val="24"/>
        </w:rPr>
        <w:t>es VII, y</w:t>
      </w:r>
      <w:r w:rsidR="00CA7A79" w:rsidRPr="005C347D">
        <w:rPr>
          <w:rFonts w:ascii="Arial" w:hAnsi="Arial" w:cs="Arial"/>
          <w:sz w:val="24"/>
          <w:szCs w:val="24"/>
        </w:rPr>
        <w:t xml:space="preserve"> XV, de la Ley Orgánica del Poder Judicial de la Federación; 6,  párrafo 1, y 19, párrafo 1, incisos a)</w:t>
      </w:r>
      <w:r w:rsidR="00B13835">
        <w:rPr>
          <w:rFonts w:ascii="Arial" w:hAnsi="Arial" w:cs="Arial"/>
          <w:sz w:val="24"/>
          <w:szCs w:val="24"/>
        </w:rPr>
        <w:t>,</w:t>
      </w:r>
      <w:r w:rsidR="00CA7A79" w:rsidRPr="005C347D">
        <w:rPr>
          <w:rFonts w:ascii="Arial" w:hAnsi="Arial" w:cs="Arial"/>
          <w:sz w:val="24"/>
          <w:szCs w:val="24"/>
        </w:rPr>
        <w:t xml:space="preserve"> y e)</w:t>
      </w:r>
      <w:r w:rsidR="00B13835">
        <w:rPr>
          <w:rFonts w:ascii="Arial" w:hAnsi="Arial" w:cs="Arial"/>
          <w:sz w:val="24"/>
          <w:szCs w:val="24"/>
        </w:rPr>
        <w:t>,</w:t>
      </w:r>
      <w:r w:rsidR="00CA7A79" w:rsidRPr="005C347D">
        <w:rPr>
          <w:rFonts w:ascii="Arial" w:hAnsi="Arial" w:cs="Arial"/>
          <w:sz w:val="24"/>
          <w:szCs w:val="24"/>
        </w:rPr>
        <w:t xml:space="preserve"> de la Ley General del Sistema de Medios de Impugnación en Materia Electoral; 52, fracción I, y 56, en relación con el 44, fracciones I, II, III y IX, del Reglamento Interno del Tribunal Electoral del Poder Judicial de la Federación,</w:t>
      </w:r>
      <w:r w:rsidR="00CA7A79" w:rsidRPr="007C602E">
        <w:rPr>
          <w:rFonts w:ascii="Arial" w:hAnsi="Arial" w:cs="Arial"/>
          <w:sz w:val="24"/>
          <w:szCs w:val="24"/>
        </w:rPr>
        <w:t xml:space="preserve"> </w:t>
      </w:r>
      <w:r w:rsidR="001D7BAD" w:rsidRPr="007C602E">
        <w:rPr>
          <w:rFonts w:ascii="Arial" w:hAnsi="Arial" w:cs="Arial"/>
          <w:b/>
          <w:sz w:val="24"/>
          <w:szCs w:val="24"/>
        </w:rPr>
        <w:t>SE ACUERDA:</w:t>
      </w:r>
    </w:p>
    <w:p w:rsidR="0002322E" w:rsidRPr="007C602E" w:rsidRDefault="00D01C9F" w:rsidP="007C602E">
      <w:pPr>
        <w:pStyle w:val="Sinespaciado"/>
        <w:spacing w:before="100" w:beforeAutospacing="1" w:after="100" w:afterAutospacing="1" w:line="360" w:lineRule="auto"/>
        <w:jc w:val="both"/>
        <w:rPr>
          <w:rFonts w:ascii="Arial" w:hAnsi="Arial" w:cs="Arial"/>
          <w:sz w:val="24"/>
          <w:szCs w:val="24"/>
          <w:lang w:eastAsia="es-ES"/>
        </w:rPr>
      </w:pPr>
      <w:r>
        <w:rPr>
          <w:rFonts w:ascii="Arial" w:hAnsi="Arial" w:cs="Arial"/>
          <w:b/>
          <w:sz w:val="24"/>
          <w:szCs w:val="24"/>
          <w:lang w:eastAsia="es-ES"/>
        </w:rPr>
        <w:t>I</w:t>
      </w:r>
      <w:r w:rsidR="0002322E" w:rsidRPr="007C602E">
        <w:rPr>
          <w:rFonts w:ascii="Arial" w:hAnsi="Arial" w:cs="Arial"/>
          <w:b/>
          <w:sz w:val="24"/>
          <w:szCs w:val="24"/>
          <w:lang w:eastAsia="es-ES"/>
        </w:rPr>
        <w:t>.</w:t>
      </w:r>
      <w:r w:rsidR="0002322E" w:rsidRPr="007C602E">
        <w:rPr>
          <w:rFonts w:ascii="Arial" w:hAnsi="Arial" w:cs="Arial"/>
          <w:sz w:val="24"/>
          <w:szCs w:val="24"/>
          <w:lang w:eastAsia="es-ES"/>
        </w:rPr>
        <w:t xml:space="preserve"> </w:t>
      </w:r>
      <w:r w:rsidR="0002322E" w:rsidRPr="007C602E">
        <w:rPr>
          <w:rFonts w:ascii="Arial" w:hAnsi="Arial" w:cs="Arial"/>
          <w:b/>
          <w:sz w:val="24"/>
          <w:szCs w:val="24"/>
          <w:lang w:eastAsia="es-ES"/>
        </w:rPr>
        <w:t>Admisión.</w:t>
      </w:r>
      <w:r w:rsidR="0002322E" w:rsidRPr="007C602E">
        <w:rPr>
          <w:rFonts w:ascii="Arial" w:hAnsi="Arial" w:cs="Arial"/>
          <w:sz w:val="24"/>
          <w:szCs w:val="24"/>
          <w:lang w:eastAsia="es-ES"/>
        </w:rPr>
        <w:t xml:space="preserve"> </w:t>
      </w:r>
      <w:r w:rsidR="0002322E" w:rsidRPr="007C602E">
        <w:rPr>
          <w:rFonts w:ascii="Arial" w:hAnsi="Arial" w:cs="Arial"/>
          <w:sz w:val="24"/>
          <w:szCs w:val="24"/>
        </w:rPr>
        <w:t>Se admite</w:t>
      </w:r>
      <w:r w:rsidR="0002322E" w:rsidRPr="007C602E">
        <w:rPr>
          <w:rFonts w:ascii="Arial" w:hAnsi="Arial" w:cs="Arial"/>
          <w:b/>
          <w:sz w:val="24"/>
          <w:szCs w:val="24"/>
        </w:rPr>
        <w:t xml:space="preserve"> </w:t>
      </w:r>
      <w:r w:rsidR="0002322E" w:rsidRPr="007C602E">
        <w:rPr>
          <w:rFonts w:ascii="Arial" w:hAnsi="Arial" w:cs="Arial"/>
          <w:sz w:val="24"/>
          <w:szCs w:val="24"/>
        </w:rPr>
        <w:t xml:space="preserve">el presente juicio, pues reúne los requisitos previstos en los artículos 8, 9, párrafo 1, y 79, </w:t>
      </w:r>
      <w:r>
        <w:rPr>
          <w:rFonts w:ascii="Arial" w:eastAsia="Times New Roman" w:hAnsi="Arial" w:cs="Arial"/>
          <w:sz w:val="24"/>
          <w:szCs w:val="24"/>
          <w:lang w:val="es-ES_tradnl" w:eastAsia="es-ES"/>
        </w:rPr>
        <w:t>de la referida L</w:t>
      </w:r>
      <w:r w:rsidRPr="00AD3085">
        <w:rPr>
          <w:rFonts w:ascii="Arial" w:eastAsia="Times New Roman" w:hAnsi="Arial" w:cs="Arial"/>
          <w:sz w:val="24"/>
          <w:szCs w:val="24"/>
          <w:lang w:val="es-ES_tradnl" w:eastAsia="es-ES"/>
        </w:rPr>
        <w:t xml:space="preserve">ey de </w:t>
      </w:r>
      <w:r>
        <w:rPr>
          <w:rFonts w:ascii="Arial" w:eastAsia="Times New Roman" w:hAnsi="Arial" w:cs="Arial"/>
          <w:sz w:val="24"/>
          <w:szCs w:val="24"/>
          <w:lang w:val="es-ES_tradnl" w:eastAsia="es-ES"/>
        </w:rPr>
        <w:t>M</w:t>
      </w:r>
      <w:r w:rsidRPr="00AD3085">
        <w:rPr>
          <w:rFonts w:ascii="Arial" w:eastAsia="Times New Roman" w:hAnsi="Arial" w:cs="Arial"/>
          <w:sz w:val="24"/>
          <w:szCs w:val="24"/>
          <w:lang w:val="es-ES_tradnl" w:eastAsia="es-ES"/>
        </w:rPr>
        <w:t>edios</w:t>
      </w:r>
      <w:r w:rsidR="0002322E" w:rsidRPr="007C602E">
        <w:rPr>
          <w:rFonts w:ascii="Arial" w:hAnsi="Arial" w:cs="Arial"/>
          <w:sz w:val="24"/>
          <w:szCs w:val="24"/>
        </w:rPr>
        <w:t>, en atención a las siguientes consideraciones:</w:t>
      </w:r>
    </w:p>
    <w:p w:rsidR="0002322E" w:rsidRPr="007C602E" w:rsidRDefault="0002322E" w:rsidP="007C602E">
      <w:pPr>
        <w:spacing w:before="100" w:beforeAutospacing="1" w:after="100" w:afterAutospacing="1" w:line="360" w:lineRule="auto"/>
        <w:jc w:val="both"/>
        <w:rPr>
          <w:rFonts w:ascii="Arial" w:hAnsi="Arial" w:cs="Arial"/>
          <w:sz w:val="24"/>
          <w:szCs w:val="24"/>
          <w:lang w:val="es-ES"/>
        </w:rPr>
      </w:pPr>
      <w:r w:rsidRPr="00382A47">
        <w:rPr>
          <w:rFonts w:ascii="Arial" w:hAnsi="Arial" w:cs="Arial"/>
          <w:b/>
          <w:bCs/>
          <w:sz w:val="24"/>
          <w:szCs w:val="24"/>
          <w:lang w:val="es-ES_tradnl"/>
        </w:rPr>
        <w:t>a)</w:t>
      </w:r>
      <w:r w:rsidRPr="007C602E">
        <w:rPr>
          <w:rFonts w:ascii="Arial" w:hAnsi="Arial" w:cs="Arial"/>
          <w:b/>
          <w:bCs/>
          <w:sz w:val="24"/>
          <w:szCs w:val="24"/>
          <w:lang w:val="es-ES_tradnl"/>
        </w:rPr>
        <w:t xml:space="preserve"> Oportunidad.</w:t>
      </w:r>
      <w:r w:rsidRPr="007C602E">
        <w:rPr>
          <w:rFonts w:ascii="Arial" w:hAnsi="Arial" w:cs="Arial"/>
          <w:b/>
          <w:bCs/>
          <w:sz w:val="24"/>
          <w:szCs w:val="24"/>
          <w:lang w:val="es-ES"/>
        </w:rPr>
        <w:t xml:space="preserve"> </w:t>
      </w:r>
      <w:r w:rsidRPr="007C602E">
        <w:rPr>
          <w:rFonts w:ascii="Arial" w:hAnsi="Arial" w:cs="Arial"/>
          <w:sz w:val="24"/>
          <w:szCs w:val="24"/>
          <w:lang w:eastAsia="es-MX"/>
        </w:rPr>
        <w:t xml:space="preserve">Se promovió dentro del plazo legal de cuatro días, ya que la </w:t>
      </w:r>
      <w:r w:rsidR="00A350FC" w:rsidRPr="007C602E">
        <w:rPr>
          <w:rFonts w:ascii="Arial" w:hAnsi="Arial" w:cs="Arial"/>
          <w:sz w:val="24"/>
          <w:szCs w:val="24"/>
          <w:lang w:eastAsia="es-MX"/>
        </w:rPr>
        <w:t>resolución</w:t>
      </w:r>
      <w:r w:rsidRPr="007C602E">
        <w:rPr>
          <w:rFonts w:ascii="Arial" w:hAnsi="Arial" w:cs="Arial"/>
          <w:sz w:val="24"/>
          <w:szCs w:val="24"/>
          <w:lang w:eastAsia="es-MX"/>
        </w:rPr>
        <w:t xml:space="preserve"> impugnada se notificó el </w:t>
      </w:r>
      <w:r w:rsidR="00382A47">
        <w:rPr>
          <w:rFonts w:ascii="Arial" w:hAnsi="Arial" w:cs="Arial"/>
          <w:sz w:val="24"/>
          <w:szCs w:val="24"/>
          <w:lang w:eastAsia="es-MX"/>
        </w:rPr>
        <w:t>tres</w:t>
      </w:r>
      <w:r w:rsidR="00A350FC" w:rsidRPr="007C602E">
        <w:rPr>
          <w:rFonts w:ascii="Arial" w:hAnsi="Arial" w:cs="Arial"/>
          <w:sz w:val="24"/>
          <w:szCs w:val="24"/>
          <w:lang w:eastAsia="es-MX"/>
        </w:rPr>
        <w:t xml:space="preserve"> de mayo del año</w:t>
      </w:r>
      <w:r w:rsidRPr="007C602E">
        <w:rPr>
          <w:rFonts w:ascii="Arial" w:hAnsi="Arial" w:cs="Arial"/>
          <w:sz w:val="24"/>
          <w:szCs w:val="24"/>
          <w:lang w:eastAsia="es-MX"/>
        </w:rPr>
        <w:t xml:space="preserve"> en curso y la demanda se presentó el </w:t>
      </w:r>
      <w:r w:rsidR="00382A47">
        <w:rPr>
          <w:rFonts w:ascii="Arial" w:hAnsi="Arial" w:cs="Arial"/>
          <w:sz w:val="24"/>
          <w:szCs w:val="24"/>
          <w:lang w:eastAsia="es-MX"/>
        </w:rPr>
        <w:t>nueve</w:t>
      </w:r>
      <w:r w:rsidR="00A350FC" w:rsidRPr="007C602E">
        <w:rPr>
          <w:rFonts w:ascii="Arial" w:hAnsi="Arial" w:cs="Arial"/>
          <w:sz w:val="24"/>
          <w:szCs w:val="24"/>
          <w:lang w:eastAsia="es-MX"/>
        </w:rPr>
        <w:t xml:space="preserve"> de mayo siguien</w:t>
      </w:r>
      <w:r w:rsidR="00A350FC" w:rsidRPr="007C602E">
        <w:rPr>
          <w:rFonts w:ascii="Arial" w:hAnsi="Arial" w:cs="Arial"/>
          <w:sz w:val="24"/>
          <w:szCs w:val="24"/>
          <w:lang w:val="es-ES"/>
        </w:rPr>
        <w:t>te.</w:t>
      </w:r>
      <w:r w:rsidR="00B13835" w:rsidRPr="007C602E">
        <w:rPr>
          <w:rStyle w:val="Refdenotaalpie"/>
          <w:rFonts w:ascii="Arial" w:hAnsi="Arial" w:cs="Arial"/>
          <w:sz w:val="24"/>
          <w:szCs w:val="24"/>
          <w:lang w:eastAsia="es-MX"/>
        </w:rPr>
        <w:footnoteReference w:id="1"/>
      </w:r>
    </w:p>
    <w:p w:rsidR="0002322E" w:rsidRPr="007C602E" w:rsidRDefault="0002322E" w:rsidP="007C602E">
      <w:pPr>
        <w:spacing w:before="100" w:beforeAutospacing="1" w:after="100" w:afterAutospacing="1" w:line="360" w:lineRule="auto"/>
        <w:jc w:val="both"/>
        <w:rPr>
          <w:rFonts w:ascii="Arial" w:hAnsi="Arial" w:cs="Arial"/>
          <w:sz w:val="24"/>
          <w:szCs w:val="24"/>
          <w:lang w:val="es-ES_tradnl"/>
        </w:rPr>
      </w:pPr>
      <w:r w:rsidRPr="007C602E">
        <w:rPr>
          <w:rFonts w:ascii="Arial" w:hAnsi="Arial" w:cs="Arial"/>
          <w:b/>
          <w:bCs/>
          <w:sz w:val="24"/>
          <w:szCs w:val="24"/>
          <w:lang w:val="es-ES_tradnl"/>
        </w:rPr>
        <w:t>b) Forma.</w:t>
      </w:r>
      <w:r w:rsidRPr="007C602E">
        <w:rPr>
          <w:rFonts w:ascii="Arial" w:hAnsi="Arial" w:cs="Arial"/>
          <w:sz w:val="24"/>
          <w:szCs w:val="24"/>
          <w:lang w:val="es-ES_tradnl"/>
        </w:rPr>
        <w:t xml:space="preserve"> El juicio se presentó por escrito ante la autoridad responsable, en la demanda consta el nombre de la promovente y la firma autógrafa de quien actúa en su representación; asimismo, se identifica el acto impugnado, se mencionan hechos y agravios, además de los artículos supuestamente violados.</w:t>
      </w:r>
    </w:p>
    <w:p w:rsidR="0002322E" w:rsidRPr="007C602E" w:rsidRDefault="0002322E" w:rsidP="007C602E">
      <w:pPr>
        <w:spacing w:before="100" w:beforeAutospacing="1" w:after="100" w:afterAutospacing="1" w:line="360" w:lineRule="auto"/>
        <w:jc w:val="both"/>
        <w:rPr>
          <w:rFonts w:ascii="Arial" w:hAnsi="Arial" w:cs="Arial"/>
          <w:bCs/>
          <w:sz w:val="24"/>
          <w:szCs w:val="24"/>
          <w:lang w:val="es-ES_tradnl"/>
        </w:rPr>
      </w:pPr>
      <w:r w:rsidRPr="007C602E">
        <w:rPr>
          <w:rFonts w:ascii="Arial" w:hAnsi="Arial" w:cs="Arial"/>
          <w:b/>
          <w:bCs/>
          <w:sz w:val="24"/>
          <w:szCs w:val="24"/>
          <w:lang w:val="es-ES_tradnl"/>
        </w:rPr>
        <w:t>c) Legitimación y personería.</w:t>
      </w:r>
      <w:r w:rsidRPr="007C602E">
        <w:rPr>
          <w:rFonts w:ascii="Arial" w:hAnsi="Arial" w:cs="Arial"/>
          <w:bCs/>
          <w:sz w:val="24"/>
          <w:szCs w:val="24"/>
          <w:lang w:val="es-ES_tradnl"/>
        </w:rPr>
        <w:t xml:space="preserve"> Se satisface este elemento, porque el juicio se promovió por la Agrupación Política Estatal </w:t>
      </w:r>
      <w:r w:rsidR="007C602E" w:rsidRPr="007C602E">
        <w:rPr>
          <w:rFonts w:ascii="Arial" w:hAnsi="Arial" w:cs="Arial"/>
          <w:bCs/>
          <w:sz w:val="24"/>
          <w:szCs w:val="24"/>
          <w:lang w:val="es-ES_tradnl"/>
        </w:rPr>
        <w:t>“</w:t>
      </w:r>
      <w:r w:rsidRPr="007C602E">
        <w:rPr>
          <w:rFonts w:ascii="Arial" w:hAnsi="Arial" w:cs="Arial"/>
          <w:bCs/>
          <w:sz w:val="24"/>
          <w:szCs w:val="24"/>
          <w:lang w:val="es-ES_tradnl"/>
        </w:rPr>
        <w:t>Defensa Perm</w:t>
      </w:r>
      <w:r w:rsidR="007C602E" w:rsidRPr="007C602E">
        <w:rPr>
          <w:rFonts w:ascii="Arial" w:hAnsi="Arial" w:cs="Arial"/>
          <w:bCs/>
          <w:sz w:val="24"/>
          <w:szCs w:val="24"/>
          <w:lang w:val="es-ES_tradnl"/>
        </w:rPr>
        <w:t>anente de los Derechos Sociales”</w:t>
      </w:r>
      <w:r w:rsidRPr="007C602E">
        <w:rPr>
          <w:rFonts w:ascii="Arial" w:hAnsi="Arial" w:cs="Arial"/>
          <w:bCs/>
          <w:sz w:val="24"/>
          <w:szCs w:val="24"/>
          <w:lang w:val="es-ES_tradnl"/>
        </w:rPr>
        <w:t xml:space="preserve"> a través de Jorge Arturo Reyes Sosa</w:t>
      </w:r>
      <w:r w:rsidR="007C602E" w:rsidRPr="007C602E">
        <w:rPr>
          <w:rFonts w:ascii="Arial" w:hAnsi="Arial" w:cs="Arial"/>
          <w:bCs/>
          <w:sz w:val="24"/>
          <w:szCs w:val="24"/>
          <w:lang w:val="es-ES_tradnl"/>
        </w:rPr>
        <w:t>,</w:t>
      </w:r>
      <w:r w:rsidRPr="007C602E">
        <w:rPr>
          <w:rFonts w:ascii="Arial" w:hAnsi="Arial" w:cs="Arial"/>
          <w:bCs/>
          <w:sz w:val="24"/>
          <w:szCs w:val="24"/>
          <w:lang w:val="es-ES_tradnl"/>
        </w:rPr>
        <w:t xml:space="preserve"> en su carácter de presidente del Comité Directivo Estatal de la misma, para combatir </w:t>
      </w:r>
      <w:r w:rsidR="007C602E" w:rsidRPr="007C602E">
        <w:rPr>
          <w:rFonts w:ascii="Arial" w:hAnsi="Arial" w:cs="Arial"/>
          <w:bCs/>
          <w:sz w:val="24"/>
          <w:szCs w:val="24"/>
          <w:lang w:val="es-ES_tradnl"/>
        </w:rPr>
        <w:t xml:space="preserve">una </w:t>
      </w:r>
      <w:r w:rsidRPr="007C602E">
        <w:rPr>
          <w:rFonts w:ascii="Arial" w:hAnsi="Arial" w:cs="Arial"/>
          <w:bCs/>
          <w:sz w:val="24"/>
          <w:szCs w:val="24"/>
          <w:lang w:val="es-ES_tradnl"/>
        </w:rPr>
        <w:t xml:space="preserve">sentencia del </w:t>
      </w:r>
      <w:r w:rsidR="007C602E" w:rsidRPr="007C602E">
        <w:rPr>
          <w:rFonts w:ascii="Arial" w:hAnsi="Arial" w:cs="Arial"/>
          <w:bCs/>
          <w:sz w:val="24"/>
          <w:szCs w:val="24"/>
          <w:lang w:val="es-ES_tradnl"/>
        </w:rPr>
        <w:t xml:space="preserve">Tribunal Electoral del Estado de San Luis Potosí, </w:t>
      </w:r>
      <w:r w:rsidRPr="007C602E">
        <w:rPr>
          <w:rFonts w:ascii="Arial" w:hAnsi="Arial" w:cs="Arial"/>
          <w:bCs/>
          <w:sz w:val="24"/>
          <w:szCs w:val="24"/>
          <w:lang w:val="es-ES_tradnl"/>
        </w:rPr>
        <w:t xml:space="preserve">al estimar que transgrede su esfera jurídica. </w:t>
      </w:r>
    </w:p>
    <w:p w:rsidR="0002322E" w:rsidRPr="007C602E" w:rsidRDefault="0002322E" w:rsidP="007C602E">
      <w:pPr>
        <w:spacing w:before="100" w:beforeAutospacing="1" w:after="100" w:afterAutospacing="1" w:line="360" w:lineRule="auto"/>
        <w:jc w:val="both"/>
        <w:rPr>
          <w:rFonts w:ascii="Arial" w:hAnsi="Arial" w:cs="Arial"/>
          <w:sz w:val="24"/>
          <w:szCs w:val="24"/>
        </w:rPr>
      </w:pPr>
      <w:r w:rsidRPr="007C602E">
        <w:rPr>
          <w:rFonts w:ascii="Arial" w:hAnsi="Arial" w:cs="Arial"/>
          <w:bCs/>
          <w:sz w:val="24"/>
          <w:szCs w:val="24"/>
          <w:lang w:val="es-ES_tradnl"/>
        </w:rPr>
        <w:lastRenderedPageBreak/>
        <w:t>Por otra parte, la personería del representante de la</w:t>
      </w:r>
      <w:r w:rsidR="007C602E" w:rsidRPr="007C602E">
        <w:rPr>
          <w:rFonts w:ascii="Arial" w:hAnsi="Arial" w:cs="Arial"/>
          <w:bCs/>
          <w:sz w:val="24"/>
          <w:szCs w:val="24"/>
          <w:lang w:val="es-ES_tradnl"/>
        </w:rPr>
        <w:t xml:space="preserve"> agrupación política</w:t>
      </w:r>
      <w:r w:rsidRPr="007C602E">
        <w:rPr>
          <w:rFonts w:ascii="Arial" w:hAnsi="Arial" w:cs="Arial"/>
          <w:bCs/>
          <w:sz w:val="24"/>
          <w:szCs w:val="24"/>
          <w:lang w:val="es-ES_tradnl"/>
        </w:rPr>
        <w:t xml:space="preserve"> actora se encuentra reconocida por la responsable en su informe circunstanciado</w:t>
      </w:r>
      <w:r w:rsidR="007C602E" w:rsidRPr="007C602E">
        <w:rPr>
          <w:rFonts w:ascii="Arial" w:hAnsi="Arial" w:cs="Arial"/>
          <w:bCs/>
          <w:sz w:val="24"/>
          <w:szCs w:val="24"/>
          <w:lang w:val="es-ES_tradnl"/>
        </w:rPr>
        <w:t>.</w:t>
      </w:r>
      <w:r w:rsidRPr="007C602E">
        <w:rPr>
          <w:rStyle w:val="Refdenotaalpie"/>
          <w:rFonts w:ascii="Arial" w:hAnsi="Arial" w:cs="Arial"/>
          <w:bCs/>
          <w:sz w:val="24"/>
          <w:szCs w:val="24"/>
          <w:lang w:val="es-ES_tradnl"/>
        </w:rPr>
        <w:footnoteReference w:id="2"/>
      </w:r>
    </w:p>
    <w:p w:rsidR="00382A47" w:rsidRDefault="0002322E" w:rsidP="007C602E">
      <w:pPr>
        <w:spacing w:before="100" w:beforeAutospacing="1" w:after="100" w:afterAutospacing="1" w:line="360" w:lineRule="auto"/>
        <w:jc w:val="both"/>
        <w:rPr>
          <w:rFonts w:ascii="Arial" w:hAnsi="Arial" w:cs="Arial"/>
          <w:sz w:val="24"/>
          <w:szCs w:val="24"/>
        </w:rPr>
      </w:pPr>
      <w:r w:rsidRPr="007C602E">
        <w:rPr>
          <w:rFonts w:ascii="Arial" w:hAnsi="Arial" w:cs="Arial"/>
          <w:b/>
          <w:bCs/>
          <w:sz w:val="24"/>
          <w:szCs w:val="24"/>
          <w:lang w:val="es-ES_tradnl"/>
        </w:rPr>
        <w:t xml:space="preserve">d) Interés jurídico. </w:t>
      </w:r>
      <w:r w:rsidR="00A350FC" w:rsidRPr="007C602E">
        <w:rPr>
          <w:rFonts w:ascii="Arial" w:hAnsi="Arial" w:cs="Arial"/>
          <w:bCs/>
          <w:sz w:val="24"/>
          <w:szCs w:val="24"/>
          <w:lang w:val="es-ES_tradnl"/>
        </w:rPr>
        <w:t xml:space="preserve">Se cumple con esta exigencia, en virtud de que se controvierte una sentencia </w:t>
      </w:r>
      <w:r w:rsidR="00732560">
        <w:rPr>
          <w:rFonts w:ascii="Arial" w:hAnsi="Arial" w:cs="Arial"/>
          <w:bCs/>
          <w:sz w:val="24"/>
          <w:szCs w:val="24"/>
          <w:lang w:val="es-ES_tradnl"/>
        </w:rPr>
        <w:t xml:space="preserve">que dictó </w:t>
      </w:r>
      <w:r w:rsidR="00A350FC" w:rsidRPr="007C602E">
        <w:rPr>
          <w:rFonts w:ascii="Arial" w:hAnsi="Arial" w:cs="Arial"/>
          <w:bCs/>
          <w:sz w:val="24"/>
          <w:szCs w:val="24"/>
          <w:lang w:val="es-ES_tradnl"/>
        </w:rPr>
        <w:t>la autoridad jurisdiccional electoral de la entidad</w:t>
      </w:r>
      <w:r w:rsidRPr="007C602E">
        <w:rPr>
          <w:rFonts w:ascii="Arial" w:hAnsi="Arial" w:cs="Arial"/>
          <w:sz w:val="24"/>
          <w:szCs w:val="24"/>
        </w:rPr>
        <w:t xml:space="preserve">, </w:t>
      </w:r>
      <w:r w:rsidR="00A350FC" w:rsidRPr="007C602E">
        <w:rPr>
          <w:rFonts w:ascii="Arial" w:hAnsi="Arial" w:cs="Arial"/>
          <w:sz w:val="24"/>
          <w:szCs w:val="24"/>
        </w:rPr>
        <w:t xml:space="preserve">en la que confirmó </w:t>
      </w:r>
      <w:r w:rsidR="00732560">
        <w:rPr>
          <w:rFonts w:ascii="Arial" w:hAnsi="Arial" w:cs="Arial"/>
          <w:sz w:val="24"/>
          <w:szCs w:val="24"/>
        </w:rPr>
        <w:t xml:space="preserve">la resolución de un </w:t>
      </w:r>
      <w:r w:rsidR="00382A47">
        <w:rPr>
          <w:rFonts w:ascii="Arial" w:hAnsi="Arial" w:cs="Arial"/>
          <w:sz w:val="24"/>
          <w:szCs w:val="24"/>
        </w:rPr>
        <w:t>Procedimiento Sancionador en Materia de Financiamiento, mediante el cual se impusieron diversas sanciones a la actora.</w:t>
      </w:r>
    </w:p>
    <w:p w:rsidR="0002322E" w:rsidRPr="007C602E" w:rsidRDefault="0002322E" w:rsidP="007C602E">
      <w:pPr>
        <w:spacing w:before="100" w:beforeAutospacing="1" w:after="100" w:afterAutospacing="1" w:line="360" w:lineRule="auto"/>
        <w:jc w:val="both"/>
        <w:rPr>
          <w:rFonts w:ascii="Arial" w:hAnsi="Arial" w:cs="Arial"/>
          <w:sz w:val="24"/>
          <w:szCs w:val="24"/>
          <w:lang w:val="es-ES_tradnl"/>
        </w:rPr>
      </w:pPr>
      <w:r w:rsidRPr="007C602E">
        <w:rPr>
          <w:rFonts w:ascii="Arial" w:hAnsi="Arial" w:cs="Arial"/>
          <w:b/>
          <w:bCs/>
          <w:sz w:val="24"/>
          <w:szCs w:val="24"/>
          <w:lang w:val="es-ES_tradnl"/>
        </w:rPr>
        <w:t xml:space="preserve">e) </w:t>
      </w:r>
      <w:r w:rsidRPr="007C602E">
        <w:rPr>
          <w:rFonts w:ascii="Arial" w:hAnsi="Arial" w:cs="Arial"/>
          <w:b/>
          <w:sz w:val="24"/>
          <w:szCs w:val="24"/>
          <w:lang w:val="es-ES_tradnl"/>
        </w:rPr>
        <w:t xml:space="preserve">Definitividad. </w:t>
      </w:r>
      <w:r w:rsidR="00FF43A6" w:rsidRPr="007C602E">
        <w:rPr>
          <w:rFonts w:ascii="Arial" w:hAnsi="Arial" w:cs="Arial"/>
          <w:sz w:val="24"/>
          <w:szCs w:val="24"/>
          <w:lang w:val="es-ES_tradnl"/>
        </w:rPr>
        <w:t>Se satisface esta exigencia, pues no existe medio de impugnación local que pudiera modificar o revocar la resolución reclamada.</w:t>
      </w:r>
    </w:p>
    <w:p w:rsidR="00382A47" w:rsidRPr="00382A47" w:rsidRDefault="00D01C9F" w:rsidP="007C602E">
      <w:pPr>
        <w:spacing w:before="100" w:beforeAutospacing="1" w:after="100" w:afterAutospacing="1" w:line="360" w:lineRule="auto"/>
        <w:jc w:val="both"/>
        <w:rPr>
          <w:rFonts w:ascii="Arial" w:hAnsi="Arial" w:cs="Arial"/>
          <w:sz w:val="24"/>
          <w:szCs w:val="24"/>
          <w:lang w:val="es-ES_tradnl"/>
        </w:rPr>
      </w:pPr>
      <w:r>
        <w:rPr>
          <w:rFonts w:ascii="Arial" w:eastAsia="Times New Roman" w:hAnsi="Arial" w:cs="Arial"/>
          <w:b/>
          <w:sz w:val="24"/>
          <w:szCs w:val="24"/>
          <w:lang w:val="es-ES_tradnl"/>
        </w:rPr>
        <w:t>II</w:t>
      </w:r>
      <w:r w:rsidR="007C602E" w:rsidRPr="007C602E">
        <w:rPr>
          <w:rFonts w:ascii="Arial" w:eastAsia="Times New Roman" w:hAnsi="Arial" w:cs="Arial"/>
          <w:b/>
          <w:sz w:val="24"/>
          <w:szCs w:val="24"/>
          <w:lang w:val="es-ES_tradnl"/>
        </w:rPr>
        <w:t xml:space="preserve">. Pruebas. </w:t>
      </w:r>
      <w:r w:rsidR="007C602E" w:rsidRPr="007C602E">
        <w:rPr>
          <w:rFonts w:ascii="Arial" w:hAnsi="Arial" w:cs="Arial"/>
          <w:sz w:val="24"/>
          <w:szCs w:val="24"/>
        </w:rPr>
        <w:t>En relación a la instrumental de actuaciones, cabe mencionar que su ofrecimiento se torna innecesario</w:t>
      </w:r>
      <w:r w:rsidR="00732560">
        <w:rPr>
          <w:rFonts w:ascii="Arial" w:hAnsi="Arial" w:cs="Arial"/>
          <w:sz w:val="24"/>
          <w:szCs w:val="24"/>
        </w:rPr>
        <w:t>,</w:t>
      </w:r>
      <w:r w:rsidR="007C602E" w:rsidRPr="007C602E">
        <w:rPr>
          <w:rFonts w:ascii="Arial" w:hAnsi="Arial" w:cs="Arial"/>
          <w:sz w:val="24"/>
          <w:szCs w:val="24"/>
        </w:rPr>
        <w:t xml:space="preserve"> ya que invariablemente forma </w:t>
      </w:r>
      <w:r w:rsidR="007C602E" w:rsidRPr="00382A47">
        <w:rPr>
          <w:rFonts w:ascii="Arial" w:hAnsi="Arial" w:cs="Arial"/>
          <w:sz w:val="24"/>
          <w:szCs w:val="24"/>
          <w:lang w:val="es-ES_tradnl"/>
        </w:rPr>
        <w:t>parte del expediente del juicio ciudadano que nos atañe.</w:t>
      </w:r>
      <w:r w:rsidR="00382A47" w:rsidRPr="00382A47">
        <w:rPr>
          <w:rFonts w:ascii="Arial" w:hAnsi="Arial" w:cs="Arial"/>
          <w:sz w:val="24"/>
          <w:szCs w:val="24"/>
          <w:lang w:val="es-ES_tradnl"/>
        </w:rPr>
        <w:t xml:space="preserve"> </w:t>
      </w:r>
    </w:p>
    <w:p w:rsidR="00382A47" w:rsidRPr="00382A47" w:rsidRDefault="001D7BAD" w:rsidP="00382A47">
      <w:pPr>
        <w:spacing w:before="100" w:beforeAutospacing="1" w:after="100" w:afterAutospacing="1" w:line="360" w:lineRule="auto"/>
        <w:jc w:val="both"/>
        <w:rPr>
          <w:rFonts w:ascii="Arial" w:hAnsi="Arial" w:cs="Arial"/>
          <w:b/>
          <w:sz w:val="24"/>
          <w:szCs w:val="24"/>
          <w:lang w:val="es-ES_tradnl"/>
        </w:rPr>
      </w:pPr>
      <w:r w:rsidRPr="00382A47">
        <w:rPr>
          <w:rFonts w:ascii="Arial" w:hAnsi="Arial" w:cs="Arial"/>
          <w:b/>
          <w:sz w:val="24"/>
          <w:szCs w:val="24"/>
          <w:lang w:val="es-ES_tradnl"/>
        </w:rPr>
        <w:t>NOTIFÍQUESE.</w:t>
      </w:r>
    </w:p>
    <w:p w:rsidR="006B0C0F" w:rsidRPr="007C602E" w:rsidRDefault="00F6147D" w:rsidP="00382A47">
      <w:pPr>
        <w:spacing w:before="100" w:beforeAutospacing="1" w:after="100" w:afterAutospacing="1" w:line="360" w:lineRule="auto"/>
        <w:jc w:val="both"/>
        <w:rPr>
          <w:rFonts w:ascii="Arial" w:hAnsi="Arial" w:cs="Arial"/>
          <w:sz w:val="24"/>
          <w:szCs w:val="24"/>
        </w:rPr>
      </w:pPr>
      <w:r w:rsidRPr="00382A47">
        <w:rPr>
          <w:rFonts w:ascii="Arial" w:hAnsi="Arial" w:cs="Arial"/>
          <w:sz w:val="24"/>
          <w:szCs w:val="24"/>
          <w:lang w:val="es-ES_tradnl"/>
        </w:rPr>
        <w:t xml:space="preserve">Así lo acordó y firma el </w:t>
      </w:r>
      <w:r w:rsidR="00C63FB3" w:rsidRPr="00382A47">
        <w:rPr>
          <w:rFonts w:ascii="Arial" w:hAnsi="Arial" w:cs="Arial"/>
          <w:sz w:val="24"/>
          <w:szCs w:val="24"/>
          <w:lang w:val="es-ES_tradnl"/>
        </w:rPr>
        <w:t xml:space="preserve">Magistrado Instructor </w:t>
      </w:r>
      <w:r w:rsidRPr="00382A47">
        <w:rPr>
          <w:rFonts w:ascii="Arial" w:hAnsi="Arial" w:cs="Arial"/>
          <w:sz w:val="24"/>
          <w:szCs w:val="24"/>
          <w:lang w:val="es-ES_tradnl"/>
        </w:rPr>
        <w:t>de la Sala Regional del Tribunal Electoral del Poder Judicial de la Federación</w:t>
      </w:r>
      <w:r w:rsidR="00732560">
        <w:rPr>
          <w:rFonts w:ascii="Arial" w:hAnsi="Arial" w:cs="Arial"/>
          <w:sz w:val="24"/>
          <w:szCs w:val="24"/>
          <w:lang w:val="es-ES_tradnl"/>
        </w:rPr>
        <w:t>,</w:t>
      </w:r>
      <w:r w:rsidRPr="00382A47">
        <w:rPr>
          <w:rFonts w:ascii="Arial" w:hAnsi="Arial" w:cs="Arial"/>
          <w:sz w:val="24"/>
          <w:szCs w:val="24"/>
          <w:lang w:val="es-ES_tradnl"/>
        </w:rPr>
        <w:t xml:space="preserve"> correspondiente a la Segunda Circunscripción Electoral Plurinominal, en presencia de</w:t>
      </w:r>
      <w:r w:rsidR="00C63FB3" w:rsidRPr="00382A47">
        <w:rPr>
          <w:rFonts w:ascii="Arial" w:hAnsi="Arial" w:cs="Arial"/>
          <w:sz w:val="24"/>
          <w:szCs w:val="24"/>
          <w:lang w:val="es-ES_tradnl"/>
        </w:rPr>
        <w:t>l</w:t>
      </w:r>
      <w:r w:rsidRPr="00382A47">
        <w:rPr>
          <w:rFonts w:ascii="Arial" w:hAnsi="Arial" w:cs="Arial"/>
          <w:sz w:val="24"/>
          <w:szCs w:val="24"/>
          <w:lang w:val="es-ES_tradnl"/>
        </w:rPr>
        <w:t xml:space="preserve"> Secretari</w:t>
      </w:r>
      <w:r w:rsidR="00C63FB3" w:rsidRPr="00382A47">
        <w:rPr>
          <w:rFonts w:ascii="Arial" w:hAnsi="Arial" w:cs="Arial"/>
          <w:sz w:val="24"/>
          <w:szCs w:val="24"/>
          <w:lang w:val="es-ES_tradnl"/>
        </w:rPr>
        <w:t>o</w:t>
      </w:r>
      <w:r w:rsidRPr="00382A47">
        <w:rPr>
          <w:rFonts w:ascii="Arial" w:hAnsi="Arial" w:cs="Arial"/>
          <w:sz w:val="24"/>
          <w:szCs w:val="24"/>
          <w:lang w:val="es-ES_tradnl"/>
        </w:rPr>
        <w:t xml:space="preserve"> de</w:t>
      </w:r>
      <w:r w:rsidRPr="007C602E">
        <w:rPr>
          <w:rFonts w:ascii="Arial" w:hAnsi="Arial" w:cs="Arial"/>
          <w:sz w:val="24"/>
          <w:szCs w:val="24"/>
        </w:rPr>
        <w:t xml:space="preserve"> Estudio y Cuenta, quien da fe.</w:t>
      </w:r>
    </w:p>
    <w:p w:rsidR="008C7029" w:rsidRDefault="008C7029" w:rsidP="00F6147D">
      <w:pPr>
        <w:tabs>
          <w:tab w:val="left" w:pos="142"/>
        </w:tabs>
        <w:spacing w:before="100" w:beforeAutospacing="1" w:after="100" w:afterAutospacing="1" w:line="360" w:lineRule="auto"/>
        <w:jc w:val="both"/>
        <w:rPr>
          <w:rFonts w:ascii="Arial" w:hAnsi="Arial" w:cs="Arial"/>
          <w:sz w:val="24"/>
          <w:szCs w:val="24"/>
        </w:rPr>
      </w:pPr>
    </w:p>
    <w:p w:rsidR="007C602E" w:rsidRDefault="007C602E" w:rsidP="00F6147D">
      <w:pPr>
        <w:tabs>
          <w:tab w:val="left" w:pos="142"/>
        </w:tabs>
        <w:spacing w:before="100" w:beforeAutospacing="1" w:after="100" w:afterAutospacing="1" w:line="360" w:lineRule="auto"/>
        <w:jc w:val="both"/>
        <w:rPr>
          <w:rFonts w:ascii="Arial" w:hAnsi="Arial" w:cs="Arial"/>
          <w:sz w:val="24"/>
          <w:szCs w:val="24"/>
        </w:rPr>
      </w:pPr>
    </w:p>
    <w:p w:rsidR="007C602E" w:rsidRPr="007C602E" w:rsidRDefault="007C602E" w:rsidP="00F6147D">
      <w:pPr>
        <w:tabs>
          <w:tab w:val="left" w:pos="142"/>
        </w:tabs>
        <w:spacing w:before="100" w:beforeAutospacing="1" w:after="100" w:afterAutospacing="1" w:line="360" w:lineRule="auto"/>
        <w:jc w:val="both"/>
        <w:rPr>
          <w:rFonts w:ascii="Arial" w:hAnsi="Arial" w:cs="Arial"/>
          <w:sz w:val="24"/>
          <w:szCs w:val="24"/>
        </w:rPr>
      </w:pPr>
    </w:p>
    <w:p w:rsidR="00744D65" w:rsidRPr="007C602E" w:rsidRDefault="00744D65" w:rsidP="00F6147D">
      <w:pPr>
        <w:tabs>
          <w:tab w:val="left" w:pos="142"/>
        </w:tabs>
        <w:spacing w:before="100" w:beforeAutospacing="1" w:after="100" w:afterAutospacing="1" w:line="360" w:lineRule="auto"/>
        <w:jc w:val="both"/>
        <w:rPr>
          <w:rFonts w:ascii="Arial" w:hAnsi="Arial" w:cs="Arial"/>
          <w:sz w:val="24"/>
          <w:szCs w:val="24"/>
        </w:rPr>
      </w:pPr>
    </w:p>
    <w:tbl>
      <w:tblPr>
        <w:tblW w:w="5581" w:type="pct"/>
        <w:jc w:val="center"/>
        <w:tblLook w:val="01E0" w:firstRow="1" w:lastRow="1" w:firstColumn="1" w:lastColumn="1" w:noHBand="0" w:noVBand="0"/>
      </w:tblPr>
      <w:tblGrid>
        <w:gridCol w:w="4280"/>
        <w:gridCol w:w="4878"/>
      </w:tblGrid>
      <w:tr w:rsidR="00C63FB3" w:rsidRPr="007C602E" w:rsidTr="001669A6">
        <w:trPr>
          <w:trHeight w:val="486"/>
          <w:jc w:val="center"/>
        </w:trPr>
        <w:tc>
          <w:tcPr>
            <w:tcW w:w="2337" w:type="pct"/>
          </w:tcPr>
          <w:p w:rsidR="00F6147D" w:rsidRPr="007C602E" w:rsidRDefault="00F6147D" w:rsidP="007E076B">
            <w:pPr>
              <w:spacing w:after="0" w:line="240" w:lineRule="auto"/>
              <w:jc w:val="center"/>
              <w:rPr>
                <w:rFonts w:ascii="Arial" w:hAnsi="Arial" w:cs="Arial"/>
                <w:b/>
                <w:sz w:val="24"/>
                <w:szCs w:val="24"/>
              </w:rPr>
            </w:pPr>
            <w:r w:rsidRPr="007C602E">
              <w:rPr>
                <w:rFonts w:ascii="Arial" w:hAnsi="Arial" w:cs="Arial"/>
                <w:b/>
                <w:sz w:val="24"/>
                <w:szCs w:val="24"/>
              </w:rPr>
              <w:t>YAIRSINIO DAVID GARCÍA ORTIZ</w:t>
            </w:r>
          </w:p>
          <w:p w:rsidR="00F6147D" w:rsidRPr="007C602E" w:rsidRDefault="00F6147D" w:rsidP="007E076B">
            <w:pPr>
              <w:spacing w:after="0" w:line="240" w:lineRule="auto"/>
              <w:jc w:val="center"/>
              <w:rPr>
                <w:rFonts w:ascii="Arial" w:hAnsi="Arial" w:cs="Arial"/>
                <w:b/>
                <w:sz w:val="24"/>
                <w:szCs w:val="24"/>
              </w:rPr>
            </w:pPr>
            <w:r w:rsidRPr="007C602E">
              <w:rPr>
                <w:rFonts w:ascii="Arial" w:hAnsi="Arial" w:cs="Arial"/>
                <w:b/>
                <w:sz w:val="24"/>
                <w:szCs w:val="24"/>
              </w:rPr>
              <w:t>MAGISTRADO</w:t>
            </w:r>
          </w:p>
        </w:tc>
        <w:tc>
          <w:tcPr>
            <w:tcW w:w="2663" w:type="pct"/>
          </w:tcPr>
          <w:p w:rsidR="00F6147D" w:rsidRPr="007C602E" w:rsidRDefault="006B0C0F" w:rsidP="007E076B">
            <w:pPr>
              <w:spacing w:after="0" w:line="240" w:lineRule="auto"/>
              <w:ind w:left="14"/>
              <w:jc w:val="center"/>
              <w:rPr>
                <w:rFonts w:ascii="Arial" w:hAnsi="Arial" w:cs="Arial"/>
                <w:b/>
                <w:sz w:val="24"/>
                <w:szCs w:val="24"/>
              </w:rPr>
            </w:pPr>
            <w:r w:rsidRPr="007C602E">
              <w:rPr>
                <w:rFonts w:ascii="Arial" w:hAnsi="Arial" w:cs="Arial"/>
                <w:b/>
                <w:sz w:val="24"/>
                <w:szCs w:val="24"/>
              </w:rPr>
              <w:t>VÍCTOR MONTOYA AYALA</w:t>
            </w:r>
          </w:p>
          <w:p w:rsidR="00F6147D" w:rsidRPr="007C602E" w:rsidRDefault="000D1DAF" w:rsidP="007E076B">
            <w:pPr>
              <w:spacing w:after="0" w:line="240" w:lineRule="auto"/>
              <w:ind w:left="14"/>
              <w:jc w:val="center"/>
              <w:rPr>
                <w:rFonts w:ascii="Arial" w:hAnsi="Arial" w:cs="Arial"/>
                <w:b/>
                <w:sz w:val="24"/>
                <w:szCs w:val="24"/>
              </w:rPr>
            </w:pPr>
            <w:r w:rsidRPr="007C602E">
              <w:rPr>
                <w:rFonts w:ascii="Arial" w:hAnsi="Arial" w:cs="Arial"/>
                <w:b/>
                <w:sz w:val="24"/>
                <w:szCs w:val="24"/>
              </w:rPr>
              <w:t>SECRETARI</w:t>
            </w:r>
            <w:r w:rsidR="00C63FB3" w:rsidRPr="007C602E">
              <w:rPr>
                <w:rFonts w:ascii="Arial" w:hAnsi="Arial" w:cs="Arial"/>
                <w:b/>
                <w:sz w:val="24"/>
                <w:szCs w:val="24"/>
              </w:rPr>
              <w:t>O</w:t>
            </w:r>
          </w:p>
        </w:tc>
      </w:tr>
    </w:tbl>
    <w:p w:rsidR="007A4ECF" w:rsidRPr="008C7029" w:rsidRDefault="007A4ECF" w:rsidP="00744D65">
      <w:pPr>
        <w:rPr>
          <w:sz w:val="24"/>
          <w:szCs w:val="24"/>
        </w:rPr>
      </w:pPr>
    </w:p>
    <w:sectPr w:rsidR="007A4ECF" w:rsidRPr="008C7029" w:rsidSect="007375E6">
      <w:headerReference w:type="even" r:id="rId8"/>
      <w:headerReference w:type="default" r:id="rId9"/>
      <w:footerReference w:type="even" r:id="rId10"/>
      <w:headerReference w:type="first" r:id="rId11"/>
      <w:footerReference w:type="first" r:id="rId12"/>
      <w:pgSz w:w="12242" w:h="19442" w:code="295"/>
      <w:pgMar w:top="1134" w:right="1134" w:bottom="284" w:left="3119" w:header="709"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03" w:rsidRDefault="00291D03" w:rsidP="00FF5616">
      <w:pPr>
        <w:spacing w:after="0" w:line="240" w:lineRule="auto"/>
      </w:pPr>
      <w:r>
        <w:separator/>
      </w:r>
    </w:p>
  </w:endnote>
  <w:endnote w:type="continuationSeparator" w:id="0">
    <w:p w:rsidR="00291D03" w:rsidRDefault="00291D03" w:rsidP="00FF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07" w:rsidRPr="00776EA0" w:rsidRDefault="00291D03">
    <w:pPr>
      <w:pStyle w:val="Piedepgina"/>
      <w:jc w:val="center"/>
      <w:rPr>
        <w:rFonts w:ascii="Arial" w:hAnsi="Arial" w:cs="Arial"/>
        <w:sz w:val="20"/>
        <w:szCs w:val="20"/>
      </w:rPr>
    </w:pPr>
  </w:p>
  <w:p w:rsidR="00CE1D07" w:rsidRDefault="00291D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0F" w:rsidRDefault="006B0C0F" w:rsidP="006B0C0F">
    <w:pPr>
      <w:pStyle w:val="Piedepgina"/>
      <w:tabs>
        <w:tab w:val="clear" w:pos="4419"/>
        <w:tab w:val="clear" w:pos="8838"/>
        <w:tab w:val="left" w:pos="9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03" w:rsidRDefault="00291D03" w:rsidP="00FF5616">
      <w:pPr>
        <w:spacing w:after="0" w:line="240" w:lineRule="auto"/>
      </w:pPr>
      <w:r>
        <w:separator/>
      </w:r>
    </w:p>
  </w:footnote>
  <w:footnote w:type="continuationSeparator" w:id="0">
    <w:p w:rsidR="00291D03" w:rsidRDefault="00291D03" w:rsidP="00FF5616">
      <w:pPr>
        <w:spacing w:after="0" w:line="240" w:lineRule="auto"/>
      </w:pPr>
      <w:r>
        <w:continuationSeparator/>
      </w:r>
    </w:p>
  </w:footnote>
  <w:footnote w:id="1">
    <w:p w:rsidR="00B13835" w:rsidRPr="00911232" w:rsidRDefault="00B13835" w:rsidP="00B13835">
      <w:pPr>
        <w:pStyle w:val="Textonotapie"/>
        <w:jc w:val="both"/>
        <w:rPr>
          <w:rFonts w:ascii="Arial" w:hAnsi="Arial" w:cs="Arial"/>
        </w:rPr>
      </w:pPr>
      <w:r w:rsidRPr="00911232">
        <w:rPr>
          <w:rStyle w:val="Refdenotaalpie"/>
          <w:rFonts w:ascii="Arial" w:hAnsi="Arial" w:cs="Arial"/>
        </w:rPr>
        <w:footnoteRef/>
      </w:r>
      <w:r w:rsidRPr="00911232">
        <w:rPr>
          <w:rFonts w:ascii="Arial" w:hAnsi="Arial" w:cs="Arial"/>
        </w:rPr>
        <w:t xml:space="preserve"> </w:t>
      </w:r>
      <w:r w:rsidR="00732560">
        <w:rPr>
          <w:rFonts w:ascii="Arial" w:hAnsi="Arial" w:cs="Arial"/>
        </w:rPr>
        <w:t>Sin contar los días sábado seis y domingo siete de mayo.</w:t>
      </w:r>
    </w:p>
  </w:footnote>
  <w:footnote w:id="2">
    <w:p w:rsidR="0002322E" w:rsidRPr="008C05C1" w:rsidRDefault="0002322E" w:rsidP="0002322E">
      <w:pPr>
        <w:pStyle w:val="Textonotapie"/>
        <w:jc w:val="both"/>
        <w:rPr>
          <w:rFonts w:ascii="Arial" w:hAnsi="Arial" w:cs="Arial"/>
        </w:rPr>
      </w:pPr>
      <w:r w:rsidRPr="008C05C1">
        <w:rPr>
          <w:rStyle w:val="Refdenotaalpie"/>
          <w:rFonts w:ascii="Arial" w:hAnsi="Arial" w:cs="Arial"/>
        </w:rPr>
        <w:footnoteRef/>
      </w:r>
      <w:r w:rsidRPr="008C05C1">
        <w:rPr>
          <w:rFonts w:ascii="Arial" w:hAnsi="Arial" w:cs="Arial"/>
        </w:rPr>
        <w:t xml:space="preserve"> Véase</w:t>
      </w:r>
      <w:r w:rsidR="00732560">
        <w:rPr>
          <w:rFonts w:ascii="Arial" w:hAnsi="Arial" w:cs="Arial"/>
        </w:rPr>
        <w:t xml:space="preserve"> la</w:t>
      </w:r>
      <w:r w:rsidRPr="008C05C1">
        <w:rPr>
          <w:rFonts w:ascii="Arial" w:hAnsi="Arial" w:cs="Arial"/>
        </w:rPr>
        <w:t xml:space="preserve"> foja </w:t>
      </w:r>
      <w:r w:rsidR="00A350FC">
        <w:rPr>
          <w:rFonts w:ascii="Arial" w:hAnsi="Arial" w:cs="Arial"/>
        </w:rPr>
        <w:t>1</w:t>
      </w:r>
      <w:r w:rsidR="00382A47">
        <w:rPr>
          <w:rFonts w:ascii="Arial" w:hAnsi="Arial" w:cs="Arial"/>
        </w:rPr>
        <w:t>6</w:t>
      </w:r>
      <w:r w:rsidRPr="008C05C1">
        <w:rPr>
          <w:rFonts w:ascii="Arial" w:hAnsi="Arial" w:cs="Arial"/>
        </w:rPr>
        <w:t xml:space="preserve"> del expediente principal</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07" w:rsidRDefault="00291D03" w:rsidP="00CE1D07">
    <w:pPr>
      <w:pStyle w:val="Encabezado"/>
      <w:rPr>
        <w:rFonts w:ascii="Arial" w:hAnsi="Arial" w:cs="Arial"/>
        <w:b/>
        <w:sz w:val="20"/>
        <w:szCs w:val="20"/>
      </w:rPr>
    </w:pPr>
    <w:sdt>
      <w:sdtPr>
        <w:rPr>
          <w:rFonts w:ascii="Arial" w:hAnsi="Arial" w:cs="Arial"/>
          <w:b/>
          <w:sz w:val="20"/>
          <w:szCs w:val="20"/>
        </w:rPr>
        <w:id w:val="-1744643968"/>
        <w:docPartObj>
          <w:docPartGallery w:val="Page Numbers (Margins)"/>
          <w:docPartUnique/>
        </w:docPartObj>
      </w:sdtPr>
      <w:sdtEndPr/>
      <w:sdtContent>
        <w:r w:rsidR="00616019">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21989744" wp14:editId="75EFCA57">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22628422"/>
                              </w:sdtPr>
                              <w:sdtEndPr/>
                              <w:sdtContent>
                                <w:sdt>
                                  <w:sdtPr>
                                    <w:rPr>
                                      <w:rFonts w:asciiTheme="majorHAnsi" w:eastAsiaTheme="majorEastAsia" w:hAnsiTheme="majorHAnsi" w:cstheme="majorBidi"/>
                                      <w:sz w:val="48"/>
                                      <w:szCs w:val="48"/>
                                    </w:rPr>
                                    <w:id w:val="1628202406"/>
                                  </w:sdtPr>
                                  <w:sdtEndPr/>
                                  <w:sdtContent>
                                    <w:p w:rsidR="00CE1D07" w:rsidRDefault="00616019">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375E6" w:rsidRPr="007375E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022628422"/>
                        </w:sdtPr>
                        <w:sdtEndPr/>
                        <w:sdtContent>
                          <w:sdt>
                            <w:sdtPr>
                              <w:rPr>
                                <w:rFonts w:asciiTheme="majorHAnsi" w:eastAsiaTheme="majorEastAsia" w:hAnsiTheme="majorHAnsi" w:cstheme="majorBidi"/>
                                <w:sz w:val="48"/>
                                <w:szCs w:val="48"/>
                              </w:rPr>
                              <w:id w:val="1628202406"/>
                            </w:sdtPr>
                            <w:sdtEndPr/>
                            <w:sdtContent>
                              <w:p w:rsidR="00CE1D07" w:rsidRDefault="00616019">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375E6" w:rsidRPr="007375E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616019" w:rsidRPr="0091452A">
      <w:rPr>
        <w:rFonts w:ascii="Arial" w:hAnsi="Arial" w:cs="Arial"/>
        <w:b/>
        <w:sz w:val="20"/>
        <w:szCs w:val="20"/>
      </w:rPr>
      <w:t>SM-</w:t>
    </w:r>
    <w:r w:rsidR="00616019">
      <w:rPr>
        <w:rFonts w:ascii="Arial" w:hAnsi="Arial" w:cs="Arial"/>
        <w:b/>
        <w:sz w:val="20"/>
        <w:szCs w:val="20"/>
      </w:rPr>
      <w:t>JDC</w:t>
    </w:r>
    <w:r w:rsidR="00616019" w:rsidRPr="0091452A">
      <w:rPr>
        <w:rFonts w:ascii="Arial" w:hAnsi="Arial" w:cs="Arial"/>
        <w:b/>
        <w:sz w:val="20"/>
        <w:szCs w:val="20"/>
      </w:rPr>
      <w:t>-</w:t>
    </w:r>
    <w:r w:rsidR="00D01C9F">
      <w:rPr>
        <w:rFonts w:ascii="Arial" w:hAnsi="Arial" w:cs="Arial"/>
        <w:b/>
        <w:sz w:val="20"/>
        <w:szCs w:val="20"/>
      </w:rPr>
      <w:t>67/2017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07" w:rsidRPr="000852EC" w:rsidRDefault="00291D03" w:rsidP="00CE1D07">
    <w:pPr>
      <w:pStyle w:val="Encabezado"/>
      <w:jc w:val="right"/>
      <w:rPr>
        <w:rFonts w:ascii="Arial" w:hAnsi="Arial" w:cs="Arial"/>
        <w:b/>
        <w:sz w:val="20"/>
        <w:szCs w:val="20"/>
      </w:rPr>
    </w:pPr>
    <w:sdt>
      <w:sdtPr>
        <w:rPr>
          <w:rFonts w:ascii="Arial" w:hAnsi="Arial" w:cs="Arial"/>
          <w:b/>
          <w:sz w:val="20"/>
          <w:szCs w:val="20"/>
        </w:rPr>
        <w:id w:val="290948933"/>
        <w:docPartObj>
          <w:docPartGallery w:val="Page Numbers (Margins)"/>
          <w:docPartUnique/>
        </w:docPartObj>
      </w:sdtPr>
      <w:sdtEndPr/>
      <w:sdtContent>
        <w:r w:rsidR="00616019">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0B32661E" wp14:editId="27843FC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20491884"/>
                              </w:sdtPr>
                              <w:sdtEndPr/>
                              <w:sdtContent>
                                <w:p w:rsidR="00CE1D07" w:rsidRDefault="0061601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01C9F" w:rsidRPr="00D01C9F">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3B8194" 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420491884"/>
                        </w:sdtPr>
                        <w:sdtEndPr/>
                        <w:sdtContent>
                          <w:p w:rsidR="00CE1D07" w:rsidRDefault="0061601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01C9F" w:rsidRPr="00D01C9F">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616019" w:rsidRPr="0091452A">
      <w:rPr>
        <w:rFonts w:ascii="Arial" w:hAnsi="Arial" w:cs="Arial"/>
        <w:b/>
        <w:sz w:val="20"/>
        <w:szCs w:val="20"/>
      </w:rPr>
      <w:t>SM-JDC-</w:t>
    </w:r>
    <w:r w:rsidR="00616019">
      <w:rPr>
        <w:noProof/>
        <w:lang w:eastAsia="es-MX"/>
      </w:rPr>
      <w:drawing>
        <wp:anchor distT="0" distB="0" distL="114300" distR="114300" simplePos="0" relativeHeight="251659264" behindDoc="0" locked="0" layoutInCell="1" allowOverlap="1" wp14:anchorId="178F7596" wp14:editId="759EA91F">
          <wp:simplePos x="0" y="0"/>
          <wp:positionH relativeFrom="column">
            <wp:posOffset>-1598295</wp:posOffset>
          </wp:positionH>
          <wp:positionV relativeFrom="paragraph">
            <wp:posOffset>154940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r w:rsidR="007C602E">
      <w:rPr>
        <w:rFonts w:ascii="Arial" w:hAnsi="Arial" w:cs="Arial"/>
        <w:b/>
        <w:sz w:val="20"/>
        <w:szCs w:val="20"/>
      </w:rPr>
      <w:t>218/2016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07" w:rsidRDefault="00616019">
    <w:pPr>
      <w:pStyle w:val="Encabezado"/>
    </w:pPr>
    <w:r>
      <w:rPr>
        <w:noProof/>
        <w:lang w:eastAsia="es-MX"/>
      </w:rPr>
      <w:drawing>
        <wp:anchor distT="0" distB="0" distL="114300" distR="114300" simplePos="0" relativeHeight="251660288" behindDoc="0" locked="0" layoutInCell="1" allowOverlap="1" wp14:anchorId="62CAFBDA" wp14:editId="202CC220">
          <wp:simplePos x="0" y="0"/>
          <wp:positionH relativeFrom="column">
            <wp:posOffset>-1619088</wp:posOffset>
          </wp:positionH>
          <wp:positionV relativeFrom="paragraph">
            <wp:posOffset>307975</wp:posOffset>
          </wp:positionV>
          <wp:extent cx="1378800" cy="1191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AD"/>
    <w:rsid w:val="00015E19"/>
    <w:rsid w:val="0002322E"/>
    <w:rsid w:val="000640AC"/>
    <w:rsid w:val="00076E09"/>
    <w:rsid w:val="000D1DAF"/>
    <w:rsid w:val="000D7BA5"/>
    <w:rsid w:val="001669A6"/>
    <w:rsid w:val="001A0BBC"/>
    <w:rsid w:val="001D5876"/>
    <w:rsid w:val="001D7BAD"/>
    <w:rsid w:val="002022FE"/>
    <w:rsid w:val="0020505E"/>
    <w:rsid w:val="00206EA4"/>
    <w:rsid w:val="002215E1"/>
    <w:rsid w:val="00291D03"/>
    <w:rsid w:val="00300611"/>
    <w:rsid w:val="00382A47"/>
    <w:rsid w:val="003957A5"/>
    <w:rsid w:val="003A06E6"/>
    <w:rsid w:val="003A74B5"/>
    <w:rsid w:val="003E3D3A"/>
    <w:rsid w:val="004336C6"/>
    <w:rsid w:val="00504662"/>
    <w:rsid w:val="005533B0"/>
    <w:rsid w:val="00562BF7"/>
    <w:rsid w:val="00585133"/>
    <w:rsid w:val="005A4DE0"/>
    <w:rsid w:val="005C347D"/>
    <w:rsid w:val="00616019"/>
    <w:rsid w:val="006B0C0F"/>
    <w:rsid w:val="00732560"/>
    <w:rsid w:val="007375E6"/>
    <w:rsid w:val="00740D8B"/>
    <w:rsid w:val="00744D65"/>
    <w:rsid w:val="007A4ECF"/>
    <w:rsid w:val="007C602E"/>
    <w:rsid w:val="00801DCB"/>
    <w:rsid w:val="0089166A"/>
    <w:rsid w:val="00896F4D"/>
    <w:rsid w:val="008A65B6"/>
    <w:rsid w:val="008C7029"/>
    <w:rsid w:val="008E73D0"/>
    <w:rsid w:val="008F503F"/>
    <w:rsid w:val="00955F37"/>
    <w:rsid w:val="00972940"/>
    <w:rsid w:val="00976EFF"/>
    <w:rsid w:val="00992727"/>
    <w:rsid w:val="009B3EBA"/>
    <w:rsid w:val="009C19FC"/>
    <w:rsid w:val="00A06DB6"/>
    <w:rsid w:val="00A350FC"/>
    <w:rsid w:val="00AB16F2"/>
    <w:rsid w:val="00AC3EE9"/>
    <w:rsid w:val="00B04D77"/>
    <w:rsid w:val="00B13835"/>
    <w:rsid w:val="00B32DD9"/>
    <w:rsid w:val="00BE06C0"/>
    <w:rsid w:val="00C12035"/>
    <w:rsid w:val="00C63FB3"/>
    <w:rsid w:val="00CA59BE"/>
    <w:rsid w:val="00CA7A79"/>
    <w:rsid w:val="00CC778B"/>
    <w:rsid w:val="00CD1033"/>
    <w:rsid w:val="00D01C9F"/>
    <w:rsid w:val="00D2063A"/>
    <w:rsid w:val="00D22A82"/>
    <w:rsid w:val="00D30F49"/>
    <w:rsid w:val="00D3197B"/>
    <w:rsid w:val="00D66532"/>
    <w:rsid w:val="00D71F1B"/>
    <w:rsid w:val="00D76713"/>
    <w:rsid w:val="00DE63C8"/>
    <w:rsid w:val="00E642DA"/>
    <w:rsid w:val="00EC5A16"/>
    <w:rsid w:val="00F4084A"/>
    <w:rsid w:val="00F6147D"/>
    <w:rsid w:val="00F642D5"/>
    <w:rsid w:val="00F80DE0"/>
    <w:rsid w:val="00FF43A6"/>
    <w:rsid w:val="00FF5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AD"/>
    <w:pPr>
      <w:spacing w:after="200" w:line="276" w:lineRule="auto"/>
    </w:pPr>
    <w:rPr>
      <w:sz w:val="22"/>
      <w:szCs w:val="22"/>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 w:val="24"/>
      <w:szCs w:val="32"/>
    </w:rPr>
  </w:style>
  <w:style w:type="paragraph" w:styleId="Ttulo2">
    <w:name w:val="heading 2"/>
    <w:basedOn w:val="Normal"/>
    <w:next w:val="Normal"/>
    <w:link w:val="Ttulo2Car"/>
    <w:uiPriority w:val="9"/>
    <w:unhideWhenUsed/>
    <w:qFormat/>
    <w:rsid w:val="003E3D3A"/>
    <w:pPr>
      <w:keepNext/>
      <w:keepLines/>
      <w:spacing w:before="200" w:beforeAutospacing="1" w:after="0" w:afterAutospacing="1" w:line="360" w:lineRule="auto"/>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E3D3A"/>
    <w:pPr>
      <w:keepNext/>
      <w:keepLines/>
      <w:spacing w:before="200" w:beforeAutospacing="1" w:after="0" w:afterAutospacing="1" w:line="360" w:lineRule="auto"/>
      <w:jc w:val="both"/>
      <w:outlineLvl w:val="2"/>
    </w:pPr>
    <w:rPr>
      <w:rFonts w:asciiTheme="majorHAnsi" w:eastAsiaTheme="majorEastAsia" w:hAnsiTheme="majorHAnsi" w:cstheme="majorBidi"/>
      <w:b/>
      <w:b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hAnsi="Arial"/>
      <w:sz w:val="24"/>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3E3D3A"/>
    <w:rPr>
      <w:sz w:val="22"/>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uiPriority w:val="99"/>
    <w:rsid w:val="001D7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BAD"/>
    <w:rPr>
      <w:sz w:val="22"/>
      <w:szCs w:val="22"/>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D7BAD"/>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1D7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BAD"/>
    <w:rPr>
      <w:sz w:val="22"/>
      <w:szCs w:val="22"/>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D7BAD"/>
    <w:rPr>
      <w:rFonts w:ascii="Times New Roman" w:hAnsi="Times New Roman"/>
      <w:sz w:val="24"/>
      <w:szCs w:val="24"/>
      <w:lang w:eastAsia="es-ES"/>
    </w:rPr>
  </w:style>
  <w:style w:type="table" w:styleId="Tablaconcuadrcula">
    <w:name w:val="Table Grid"/>
    <w:basedOn w:val="Tablanormal"/>
    <w:uiPriority w:val="59"/>
    <w:rsid w:val="001D7B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7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BAD"/>
    <w:rPr>
      <w:rFonts w:ascii="Tahoma" w:hAnsi="Tahoma" w:cs="Tahoma"/>
      <w:sz w:val="16"/>
      <w:szCs w:val="16"/>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F80DE0"/>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F80DE0"/>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F80D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AD"/>
    <w:pPr>
      <w:spacing w:after="200" w:line="276" w:lineRule="auto"/>
    </w:pPr>
    <w:rPr>
      <w:sz w:val="22"/>
      <w:szCs w:val="22"/>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 w:val="24"/>
      <w:szCs w:val="32"/>
    </w:rPr>
  </w:style>
  <w:style w:type="paragraph" w:styleId="Ttulo2">
    <w:name w:val="heading 2"/>
    <w:basedOn w:val="Normal"/>
    <w:next w:val="Normal"/>
    <w:link w:val="Ttulo2Car"/>
    <w:uiPriority w:val="9"/>
    <w:unhideWhenUsed/>
    <w:qFormat/>
    <w:rsid w:val="003E3D3A"/>
    <w:pPr>
      <w:keepNext/>
      <w:keepLines/>
      <w:spacing w:before="200" w:beforeAutospacing="1" w:after="0" w:afterAutospacing="1" w:line="360" w:lineRule="auto"/>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E3D3A"/>
    <w:pPr>
      <w:keepNext/>
      <w:keepLines/>
      <w:spacing w:before="200" w:beforeAutospacing="1" w:after="0" w:afterAutospacing="1" w:line="360" w:lineRule="auto"/>
      <w:jc w:val="both"/>
      <w:outlineLvl w:val="2"/>
    </w:pPr>
    <w:rPr>
      <w:rFonts w:asciiTheme="majorHAnsi" w:eastAsiaTheme="majorEastAsia" w:hAnsiTheme="majorHAnsi" w:cstheme="majorBidi"/>
      <w:b/>
      <w:b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hAnsi="Arial"/>
      <w:sz w:val="24"/>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3E3D3A"/>
    <w:rPr>
      <w:sz w:val="22"/>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uiPriority w:val="99"/>
    <w:rsid w:val="001D7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BAD"/>
    <w:rPr>
      <w:sz w:val="22"/>
      <w:szCs w:val="22"/>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D7BAD"/>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1D7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BAD"/>
    <w:rPr>
      <w:sz w:val="22"/>
      <w:szCs w:val="22"/>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D7BAD"/>
    <w:rPr>
      <w:rFonts w:ascii="Times New Roman" w:hAnsi="Times New Roman"/>
      <w:sz w:val="24"/>
      <w:szCs w:val="24"/>
      <w:lang w:eastAsia="es-ES"/>
    </w:rPr>
  </w:style>
  <w:style w:type="table" w:styleId="Tablaconcuadrcula">
    <w:name w:val="Table Grid"/>
    <w:basedOn w:val="Tablanormal"/>
    <w:uiPriority w:val="59"/>
    <w:rsid w:val="001D7B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7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BAD"/>
    <w:rPr>
      <w:rFonts w:ascii="Tahoma" w:hAnsi="Tahoma" w:cs="Tahoma"/>
      <w:sz w:val="16"/>
      <w:szCs w:val="16"/>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F80DE0"/>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F80DE0"/>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F80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5C58393-F34E-4725-A24C-2BDE9D9E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Alemán Ontiveros</dc:creator>
  <cp:lastModifiedBy>Nubia Selene Puga Zapata</cp:lastModifiedBy>
  <cp:revision>2</cp:revision>
  <cp:lastPrinted>2017-05-24T17:30:00Z</cp:lastPrinted>
  <dcterms:created xsi:type="dcterms:W3CDTF">2017-05-24T17:35:00Z</dcterms:created>
  <dcterms:modified xsi:type="dcterms:W3CDTF">2017-05-24T17:35:00Z</dcterms:modified>
</cp:coreProperties>
</file>